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103" w:rsidRDefault="00163A35" w:rsidP="005A7C7C">
      <w:pPr>
        <w:contextualSpacing w:val="0"/>
        <w:jc w:val="center"/>
        <w:rPr>
          <w:b/>
        </w:rPr>
      </w:pPr>
      <w:bookmarkStart w:id="0" w:name="_GoBack"/>
      <w:bookmarkEnd w:id="0"/>
      <w:r>
        <w:rPr>
          <w:b/>
        </w:rPr>
        <w:t>Gene-expression profiling by Smart-3SEQ</w:t>
      </w:r>
    </w:p>
    <w:p w:rsidR="005A7C7C" w:rsidRDefault="005A7C7C" w:rsidP="005A7C7C">
      <w:pPr>
        <w:contextualSpacing w:val="0"/>
        <w:jc w:val="center"/>
        <w:rPr>
          <w:b/>
          <w:lang w:val="en-US"/>
        </w:rPr>
      </w:pPr>
      <w:r w:rsidRPr="005A7C7C">
        <w:rPr>
          <w:b/>
          <w:lang w:val="en-US"/>
        </w:rPr>
        <w:t>U01 MCL PCA Supplemental Project</w:t>
      </w:r>
    </w:p>
    <w:p w:rsidR="005A7C7C" w:rsidRDefault="005A7C7C" w:rsidP="005A7C7C">
      <w:pPr>
        <w:contextualSpacing w:val="0"/>
        <w:jc w:val="center"/>
        <w:rPr>
          <w:b/>
        </w:rPr>
      </w:pPr>
      <w:r>
        <w:rPr>
          <w:b/>
        </w:rPr>
        <w:t>Version 1</w:t>
      </w:r>
      <w:r w:rsidR="00B32963">
        <w:rPr>
          <w:b/>
        </w:rPr>
        <w:t>.</w:t>
      </w:r>
      <w:r w:rsidR="00941428">
        <w:rPr>
          <w:b/>
        </w:rPr>
        <w:t>4</w:t>
      </w:r>
      <w:r>
        <w:rPr>
          <w:b/>
        </w:rPr>
        <w:t xml:space="preserve"> – 11/</w:t>
      </w:r>
      <w:r w:rsidR="00B32963">
        <w:rPr>
          <w:b/>
        </w:rPr>
        <w:t>2</w:t>
      </w:r>
      <w:r w:rsidR="00930CB0">
        <w:rPr>
          <w:b/>
        </w:rPr>
        <w:t>3</w:t>
      </w:r>
      <w:r>
        <w:rPr>
          <w:b/>
        </w:rPr>
        <w:t>/2018</w:t>
      </w:r>
    </w:p>
    <w:p w:rsidR="005A7C7C" w:rsidRDefault="005A7C7C" w:rsidP="005A7C7C">
      <w:pPr>
        <w:contextualSpacing w:val="0"/>
        <w:rPr>
          <w:b/>
        </w:rPr>
      </w:pPr>
    </w:p>
    <w:p w:rsidR="00FA4103" w:rsidRPr="0001370A" w:rsidRDefault="005A7C7C" w:rsidP="0001370A">
      <w:pPr>
        <w:spacing w:after="160"/>
        <w:contextualSpacing w:val="0"/>
        <w:jc w:val="both"/>
        <w:rPr>
          <w:i/>
        </w:rPr>
      </w:pPr>
      <w:r w:rsidRPr="00AB65D8">
        <w:rPr>
          <w:i/>
        </w:rPr>
        <w:t>This SOP is a</w:t>
      </w:r>
      <w:r w:rsidR="00163A35" w:rsidRPr="00AB65D8">
        <w:rPr>
          <w:i/>
        </w:rPr>
        <w:t xml:space="preserve">dapted from the Joseph W. Foley / Robert West </w:t>
      </w:r>
      <w:hyperlink r:id="rId5" w:history="1">
        <w:r w:rsidR="00163A35" w:rsidRPr="00AB65D8">
          <w:rPr>
            <w:rStyle w:val="Hyperlink"/>
            <w:i/>
          </w:rPr>
          <w:t>Protocol</w:t>
        </w:r>
      </w:hyperlink>
      <w:r w:rsidR="00163A35" w:rsidRPr="00AB65D8">
        <w:rPr>
          <w:i/>
        </w:rPr>
        <w:t xml:space="preserve"> - Department of Pathology Stanford University School of Medicine</w:t>
      </w:r>
      <w:r w:rsidRPr="00AB65D8">
        <w:rPr>
          <w:i/>
        </w:rPr>
        <w:t xml:space="preserve">, which should be used for reference. </w:t>
      </w:r>
      <w:r w:rsidR="00163A35" w:rsidRPr="00AB65D8">
        <w:rPr>
          <w:i/>
        </w:rPr>
        <w:t>This version of the protocol is optimized for formalin-fixed, paraffin-embedded tissue sections</w:t>
      </w:r>
      <w:r w:rsidR="00603CCA">
        <w:rPr>
          <w:i/>
        </w:rPr>
        <w:t>, laser capture micro-dissected</w:t>
      </w:r>
      <w:r w:rsidR="00163A35" w:rsidRPr="00AB65D8">
        <w:rPr>
          <w:i/>
        </w:rPr>
        <w:t xml:space="preserve"> on an Arcturus HS LCM Cap (</w:t>
      </w:r>
      <w:hyperlink r:id="rId6">
        <w:r w:rsidR="00163A35" w:rsidRPr="00AB65D8">
          <w:rPr>
            <w:i/>
            <w:color w:val="1155CC"/>
            <w:u w:val="single"/>
          </w:rPr>
          <w:t>Thermo-Fisher LCM0214</w:t>
        </w:r>
      </w:hyperlink>
      <w:r w:rsidR="00163A35" w:rsidRPr="00AB65D8">
        <w:rPr>
          <w:i/>
        </w:rPr>
        <w:t xml:space="preserve">) </w:t>
      </w:r>
      <w:r w:rsidR="00094410">
        <w:rPr>
          <w:i/>
        </w:rPr>
        <w:t>and</w:t>
      </w:r>
      <w:r w:rsidR="00B32963">
        <w:rPr>
          <w:i/>
        </w:rPr>
        <w:t xml:space="preserve"> recommends pooled clean-up of multiple libraries</w:t>
      </w:r>
      <w:r w:rsidR="00094410">
        <w:rPr>
          <w:i/>
        </w:rPr>
        <w:t xml:space="preserve">. FFPE tissues require </w:t>
      </w:r>
      <w:r w:rsidR="0032637D">
        <w:rPr>
          <w:i/>
        </w:rPr>
        <w:t>longer digestions time and result in highly degraded RNA.</w:t>
      </w:r>
      <w:r w:rsidR="00094410">
        <w:rPr>
          <w:i/>
        </w:rPr>
        <w:t xml:space="preserve"> Please read entire protocol before starting</w:t>
      </w:r>
      <w:r w:rsidR="00163A35" w:rsidRPr="00AB65D8">
        <w:rPr>
          <w:i/>
        </w:rPr>
        <w:t xml:space="preserve">. </w:t>
      </w:r>
    </w:p>
    <w:p w:rsidR="00FA4103" w:rsidRDefault="00163A35">
      <w:pPr>
        <w:spacing w:after="160"/>
        <w:contextualSpacing w:val="0"/>
      </w:pPr>
      <w:r>
        <w:t>1.</w:t>
      </w:r>
      <w:r>
        <w:rPr>
          <w:rFonts w:ascii="Times New Roman" w:eastAsia="Times New Roman" w:hAnsi="Times New Roman" w:cs="Times New Roman"/>
          <w:sz w:val="14"/>
          <w:szCs w:val="14"/>
        </w:rPr>
        <w:t xml:space="preserve">    </w:t>
      </w:r>
      <w:r>
        <w:t xml:space="preserve">Pre-warm an incubator at 60 °C with the metal HS </w:t>
      </w:r>
      <w:proofErr w:type="spellStart"/>
      <w:r>
        <w:t>CapSure</w:t>
      </w:r>
      <w:proofErr w:type="spellEnd"/>
      <w:r>
        <w:t xml:space="preserve"> incubation block (Thermo-Fisher </w:t>
      </w:r>
      <w:hyperlink r:id="rId7">
        <w:r>
          <w:rPr>
            <w:color w:val="1155CC"/>
            <w:u w:val="single"/>
          </w:rPr>
          <w:t>LCM0213</w:t>
        </w:r>
      </w:hyperlink>
      <w:r w:rsidR="00094410">
        <w:rPr>
          <w:color w:val="1155CC"/>
          <w:u w:val="single"/>
        </w:rPr>
        <w:t xml:space="preserve"> </w:t>
      </w:r>
      <w:r>
        <w:t xml:space="preserve">or </w:t>
      </w:r>
      <w:hyperlink r:id="rId8">
        <w:r>
          <w:rPr>
            <w:color w:val="1155CC"/>
            <w:u w:val="single"/>
          </w:rPr>
          <w:t>LCM0505</w:t>
        </w:r>
      </w:hyperlink>
      <w:r>
        <w:t>) inside. Note: It may help to place an open container of water in the incubator for humidity.</w:t>
      </w:r>
    </w:p>
    <w:p w:rsidR="00FA4103" w:rsidRDefault="00163A35">
      <w:pPr>
        <w:spacing w:after="160"/>
        <w:contextualSpacing w:val="0"/>
      </w:pPr>
      <w:r>
        <w:t>2.</w:t>
      </w:r>
      <w:r>
        <w:rPr>
          <w:rFonts w:ascii="Times New Roman" w:eastAsia="Times New Roman" w:hAnsi="Times New Roman" w:cs="Times New Roman"/>
          <w:sz w:val="14"/>
          <w:szCs w:val="14"/>
        </w:rPr>
        <w:t xml:space="preserve">    </w:t>
      </w:r>
      <w:r>
        <w:t xml:space="preserve"> Aliquot 5 </w:t>
      </w:r>
      <w:proofErr w:type="spellStart"/>
      <w:r>
        <w:t>μL</w:t>
      </w:r>
      <w:proofErr w:type="spellEnd"/>
      <w:r>
        <w:t xml:space="preserve"> FFPE LCM Lysis Mix directly onto the in the center of the LCM HS Cap.</w:t>
      </w:r>
    </w:p>
    <w:p w:rsidR="00FA4103" w:rsidRDefault="00163A35">
      <w:pPr>
        <w:contextualSpacing w:val="0"/>
        <w:rPr>
          <w:b/>
        </w:rPr>
      </w:pPr>
      <w:r>
        <w:t xml:space="preserve"> </w:t>
      </w:r>
      <w:r>
        <w:rPr>
          <w:b/>
        </w:rPr>
        <w:t>FFPE LCM Lysis Mix</w:t>
      </w:r>
    </w:p>
    <w:tbl>
      <w:tblPr>
        <w:tblStyle w:val="a"/>
        <w:tblW w:w="89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75"/>
        <w:gridCol w:w="2685"/>
        <w:gridCol w:w="1065"/>
        <w:gridCol w:w="1560"/>
      </w:tblGrid>
      <w:tr w:rsidR="00FA4103" w:rsidTr="0001370A">
        <w:trPr>
          <w:trHeight w:val="72"/>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103" w:rsidRDefault="00163A35">
            <w:pPr>
              <w:contextualSpacing w:val="0"/>
              <w:jc w:val="center"/>
              <w:rPr>
                <w:b/>
              </w:rPr>
            </w:pPr>
            <w:r>
              <w:rPr>
                <w:b/>
              </w:rPr>
              <w:t xml:space="preserve">REAGENT </w:t>
            </w:r>
          </w:p>
        </w:tc>
        <w:tc>
          <w:tcPr>
            <w:tcW w:w="26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A4103" w:rsidRDefault="00163A35">
            <w:pPr>
              <w:contextualSpacing w:val="0"/>
              <w:jc w:val="center"/>
              <w:rPr>
                <w:b/>
              </w:rPr>
            </w:pPr>
            <w:r>
              <w:rPr>
                <w:b/>
              </w:rPr>
              <w:t>CATALOG NUM.</w:t>
            </w:r>
          </w:p>
        </w:tc>
        <w:tc>
          <w:tcPr>
            <w:tcW w:w="10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A4103" w:rsidRDefault="00163A35">
            <w:pPr>
              <w:contextualSpacing w:val="0"/>
              <w:jc w:val="center"/>
              <w:rPr>
                <w:b/>
              </w:rPr>
            </w:pPr>
            <w:r>
              <w:rPr>
                <w:b/>
              </w:rPr>
              <w:t>Qty</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A4103" w:rsidRDefault="00163A35">
            <w:pPr>
              <w:contextualSpacing w:val="0"/>
              <w:jc w:val="center"/>
              <w:rPr>
                <w:b/>
              </w:rPr>
            </w:pPr>
            <w:r>
              <w:rPr>
                <w:b/>
              </w:rPr>
              <w:t>MULTI (x    )</w:t>
            </w:r>
          </w:p>
        </w:tc>
      </w:tr>
      <w:tr w:rsidR="00FA4103" w:rsidTr="0001370A">
        <w:trPr>
          <w:trHeight w:val="72"/>
        </w:trPr>
        <w:tc>
          <w:tcPr>
            <w:tcW w:w="3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t>Betadine solution (5M)</w:t>
            </w:r>
          </w:p>
        </w:tc>
        <w:tc>
          <w:tcPr>
            <w:tcW w:w="2685"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rPr>
                <w:color w:val="1155CC"/>
                <w:u w:val="single"/>
              </w:rPr>
            </w:pPr>
            <w:r>
              <w:fldChar w:fldCharType="begin"/>
            </w:r>
            <w:r>
              <w:instrText xml:space="preserve"> HYPERLINK "https://www.sigmaaldrich.com/catalog/product/sigma/b0300?lang=en&amp;region=US" </w:instrText>
            </w:r>
            <w:r>
              <w:fldChar w:fldCharType="separate"/>
            </w:r>
            <w:r>
              <w:rPr>
                <w:color w:val="1155CC"/>
                <w:u w:val="single"/>
              </w:rPr>
              <w:t>Sigma-Aldrich B0300</w:t>
            </w:r>
          </w:p>
        </w:tc>
        <w:tc>
          <w:tcPr>
            <w:tcW w:w="1065"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fldChar w:fldCharType="end"/>
            </w:r>
            <w:r>
              <w:t xml:space="preserve">2.0 </w:t>
            </w:r>
            <w:r w:rsidR="005A7C7C">
              <w:t>µl</w:t>
            </w:r>
            <w: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rsidR="00FA4103" w:rsidRDefault="00163A35">
            <w:pPr>
              <w:ind w:left="540"/>
              <w:contextualSpacing w:val="0"/>
            </w:pPr>
            <w:r>
              <w:t xml:space="preserve"> </w:t>
            </w:r>
          </w:p>
        </w:tc>
      </w:tr>
      <w:tr w:rsidR="00FA4103" w:rsidTr="0001370A">
        <w:trPr>
          <w:trHeight w:val="72"/>
        </w:trPr>
        <w:tc>
          <w:tcPr>
            <w:tcW w:w="3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t xml:space="preserve">dNTP mix (10 mM each) </w:t>
            </w:r>
          </w:p>
        </w:tc>
        <w:tc>
          <w:tcPr>
            <w:tcW w:w="2685"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rPr>
                <w:color w:val="1155CC"/>
                <w:u w:val="single"/>
              </w:rPr>
            </w:pPr>
            <w:r>
              <w:fldChar w:fldCharType="begin"/>
            </w:r>
            <w:r>
              <w:instrText xml:space="preserve"> HYPERLINK "https://www.thermofisher.com/order/catalog/product/R0192" </w:instrText>
            </w:r>
            <w:r>
              <w:fldChar w:fldCharType="separate"/>
            </w:r>
            <w:r>
              <w:rPr>
                <w:color w:val="1155CC"/>
                <w:u w:val="single"/>
              </w:rPr>
              <w:t>Thermo-Fisher R0192</w:t>
            </w:r>
          </w:p>
        </w:tc>
        <w:tc>
          <w:tcPr>
            <w:tcW w:w="1065"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fldChar w:fldCharType="end"/>
            </w:r>
            <w:r>
              <w:t>1.0</w:t>
            </w:r>
            <w:r w:rsidR="005A7C7C">
              <w:t xml:space="preserve"> µl</w:t>
            </w:r>
            <w: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rsidR="00FA4103" w:rsidRDefault="00163A35">
            <w:pPr>
              <w:ind w:left="540"/>
              <w:contextualSpacing w:val="0"/>
            </w:pPr>
            <w:r>
              <w:t xml:space="preserve"> </w:t>
            </w:r>
          </w:p>
        </w:tc>
      </w:tr>
      <w:tr w:rsidR="00FA4103" w:rsidTr="0001370A">
        <w:trPr>
          <w:trHeight w:val="72"/>
        </w:trPr>
        <w:tc>
          <w:tcPr>
            <w:tcW w:w="3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t>First strand (1S) primer  (20 uM)</w:t>
            </w:r>
          </w:p>
        </w:tc>
        <w:tc>
          <w:tcPr>
            <w:tcW w:w="2685"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t xml:space="preserve">IDT: Note </w:t>
            </w:r>
            <w:r w:rsidR="00193F42">
              <w:t>2</w:t>
            </w:r>
          </w:p>
        </w:tc>
        <w:tc>
          <w:tcPr>
            <w:tcW w:w="1065"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t>0.5</w:t>
            </w:r>
            <w:r w:rsidR="005A7C7C">
              <w:t xml:space="preserve"> µl</w:t>
            </w:r>
            <w: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rsidR="00FA4103" w:rsidRDefault="00163A35">
            <w:pPr>
              <w:ind w:left="540"/>
              <w:contextualSpacing w:val="0"/>
            </w:pPr>
            <w:r>
              <w:t xml:space="preserve"> </w:t>
            </w:r>
          </w:p>
        </w:tc>
      </w:tr>
      <w:tr w:rsidR="00FA4103" w:rsidTr="0001370A">
        <w:trPr>
          <w:trHeight w:val="72"/>
        </w:trPr>
        <w:tc>
          <w:tcPr>
            <w:tcW w:w="3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t xml:space="preserve">Triton-X-100 (0.5% v/v) </w:t>
            </w:r>
          </w:p>
        </w:tc>
        <w:tc>
          <w:tcPr>
            <w:tcW w:w="2685" w:type="dxa"/>
            <w:tcBorders>
              <w:bottom w:val="single" w:sz="8" w:space="0" w:color="000000"/>
              <w:right w:val="single" w:sz="8" w:space="0" w:color="000000"/>
            </w:tcBorders>
            <w:tcMar>
              <w:top w:w="100" w:type="dxa"/>
              <w:left w:w="100" w:type="dxa"/>
              <w:bottom w:w="100" w:type="dxa"/>
              <w:right w:w="100" w:type="dxa"/>
            </w:tcMar>
          </w:tcPr>
          <w:p w:rsidR="00FA4103" w:rsidRDefault="00163A35">
            <w:pPr>
              <w:ind w:left="540"/>
              <w:contextualSpacing w:val="0"/>
            </w:pPr>
            <w:r>
              <w:t xml:space="preserve"> </w:t>
            </w:r>
          </w:p>
        </w:tc>
        <w:tc>
          <w:tcPr>
            <w:tcW w:w="1065"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t>0.5</w:t>
            </w:r>
            <w:r w:rsidR="005A7C7C">
              <w:t xml:space="preserve"> µl</w:t>
            </w:r>
            <w: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rsidR="00FA4103" w:rsidRDefault="00163A35">
            <w:pPr>
              <w:ind w:left="540"/>
              <w:contextualSpacing w:val="0"/>
            </w:pPr>
            <w:r>
              <w:t xml:space="preserve"> </w:t>
            </w:r>
          </w:p>
        </w:tc>
      </w:tr>
      <w:tr w:rsidR="00FA4103" w:rsidTr="0001370A">
        <w:trPr>
          <w:trHeight w:val="72"/>
        </w:trPr>
        <w:tc>
          <w:tcPr>
            <w:tcW w:w="3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t>Proteinase K* (</w:t>
            </w:r>
            <w:r w:rsidRPr="00CE17DC">
              <w:rPr>
                <w:color w:val="000000" w:themeColor="text1"/>
              </w:rPr>
              <w:t xml:space="preserve">0.125 </w:t>
            </w:r>
            <w:proofErr w:type="spellStart"/>
            <w:r w:rsidRPr="00CE17DC">
              <w:rPr>
                <w:color w:val="000000" w:themeColor="text1"/>
              </w:rPr>
              <w:t>ug</w:t>
            </w:r>
            <w:proofErr w:type="spellEnd"/>
            <w:r w:rsidRPr="00CE17DC">
              <w:rPr>
                <w:color w:val="000000" w:themeColor="text1"/>
              </w:rPr>
              <w:t>/</w:t>
            </w:r>
            <w:proofErr w:type="spellStart"/>
            <w:r w:rsidRPr="00CE17DC">
              <w:rPr>
                <w:color w:val="000000" w:themeColor="text1"/>
              </w:rPr>
              <w:t>uL</w:t>
            </w:r>
            <w:proofErr w:type="spellEnd"/>
            <w:r w:rsidRPr="00CE17DC">
              <w:rPr>
                <w:color w:val="000000" w:themeColor="text1"/>
              </w:rPr>
              <w:t>)</w:t>
            </w:r>
          </w:p>
        </w:tc>
        <w:tc>
          <w:tcPr>
            <w:tcW w:w="2685"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rPr>
                <w:color w:val="1155CC"/>
                <w:u w:val="single"/>
              </w:rPr>
            </w:pPr>
            <w:r>
              <w:fldChar w:fldCharType="begin"/>
            </w:r>
            <w:r>
              <w:instrText xml:space="preserve"> HYPERLINK "https://www.neb.com/products/p8107-proteinase-k-molecular-biology-grade#Product%20Information" </w:instrText>
            </w:r>
            <w:r>
              <w:fldChar w:fldCharType="separate"/>
            </w:r>
            <w:r>
              <w:rPr>
                <w:color w:val="1155CC"/>
                <w:u w:val="single"/>
              </w:rPr>
              <w:t>NEB P8107S</w:t>
            </w:r>
          </w:p>
        </w:tc>
        <w:tc>
          <w:tcPr>
            <w:tcW w:w="1065"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fldChar w:fldCharType="end"/>
            </w:r>
            <w:r>
              <w:t>1</w:t>
            </w:r>
            <w:r w:rsidR="005A7C7C">
              <w:t xml:space="preserve"> µl</w:t>
            </w:r>
            <w: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rsidR="00FA4103" w:rsidRDefault="00163A35">
            <w:pPr>
              <w:ind w:left="540"/>
              <w:contextualSpacing w:val="0"/>
            </w:pPr>
            <w:r>
              <w:t xml:space="preserve"> </w:t>
            </w:r>
          </w:p>
        </w:tc>
      </w:tr>
      <w:tr w:rsidR="00FA4103" w:rsidTr="0001370A">
        <w:trPr>
          <w:trHeight w:val="72"/>
        </w:trPr>
        <w:tc>
          <w:tcPr>
            <w:tcW w:w="3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4103" w:rsidRDefault="00163A35">
            <w:pPr>
              <w:ind w:left="540"/>
              <w:contextualSpacing w:val="0"/>
              <w:rPr>
                <w:b/>
              </w:rPr>
            </w:pPr>
            <w:r>
              <w:rPr>
                <w:b/>
              </w:rPr>
              <w:t xml:space="preserve"> </w:t>
            </w:r>
          </w:p>
        </w:tc>
        <w:tc>
          <w:tcPr>
            <w:tcW w:w="2685"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rPr>
                <w:b/>
              </w:rPr>
            </w:pPr>
            <w:r>
              <w:rPr>
                <w:b/>
              </w:rPr>
              <w:t>FINAL Volume</w:t>
            </w:r>
          </w:p>
        </w:tc>
        <w:tc>
          <w:tcPr>
            <w:tcW w:w="1065"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t>5.0</w:t>
            </w:r>
            <w:r w:rsidR="005A7C7C">
              <w:t xml:space="preserve"> µl</w:t>
            </w:r>
            <w: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rsidR="00FA4103" w:rsidRDefault="00163A35">
            <w:pPr>
              <w:ind w:left="540"/>
              <w:contextualSpacing w:val="0"/>
            </w:pPr>
            <w:r>
              <w:t xml:space="preserve"> </w:t>
            </w:r>
          </w:p>
        </w:tc>
      </w:tr>
    </w:tbl>
    <w:p w:rsidR="00FA4103" w:rsidRDefault="00163A35" w:rsidP="00AB65D8">
      <w:pPr>
        <w:snapToGrid w:val="0"/>
        <w:spacing w:line="240" w:lineRule="exact"/>
        <w:contextualSpacing w:val="0"/>
        <w:rPr>
          <w:rFonts w:ascii="Malgun Gothic" w:eastAsia="Malgun Gothic" w:hAnsi="Malgun Gothic" w:cs="Malgun Gothic"/>
          <w:i/>
          <w:sz w:val="20"/>
          <w:szCs w:val="20"/>
        </w:rPr>
      </w:pPr>
      <w:r>
        <w:t xml:space="preserve"> *</w:t>
      </w:r>
      <w:r>
        <w:rPr>
          <w:rFonts w:ascii="Malgun Gothic" w:eastAsia="Malgun Gothic" w:hAnsi="Malgun Gothic" w:cs="Malgun Gothic"/>
          <w:i/>
          <w:sz w:val="20"/>
          <w:szCs w:val="20"/>
        </w:rPr>
        <w:t xml:space="preserve">Concentration of undiluted Proteinase K (800 units/ml) is 20 </w:t>
      </w:r>
      <w:proofErr w:type="spellStart"/>
      <w:r>
        <w:rPr>
          <w:i/>
          <w:sz w:val="20"/>
          <w:szCs w:val="20"/>
        </w:rPr>
        <w:t>μ</w:t>
      </w:r>
      <w:r>
        <w:rPr>
          <w:rFonts w:ascii="Malgun Gothic" w:eastAsia="Malgun Gothic" w:hAnsi="Malgun Gothic" w:cs="Malgun Gothic"/>
          <w:i/>
          <w:sz w:val="20"/>
          <w:szCs w:val="20"/>
        </w:rPr>
        <w:t>g</w:t>
      </w:r>
      <w:proofErr w:type="spellEnd"/>
      <w:r>
        <w:rPr>
          <w:rFonts w:ascii="Malgun Gothic" w:eastAsia="Malgun Gothic" w:hAnsi="Malgun Gothic" w:cs="Malgun Gothic"/>
          <w:i/>
          <w:sz w:val="20"/>
          <w:szCs w:val="20"/>
        </w:rPr>
        <w:t>/</w:t>
      </w:r>
      <w:proofErr w:type="spellStart"/>
      <w:r>
        <w:rPr>
          <w:i/>
          <w:sz w:val="20"/>
          <w:szCs w:val="20"/>
        </w:rPr>
        <w:t>μ</w:t>
      </w:r>
      <w:r>
        <w:rPr>
          <w:rFonts w:ascii="Malgun Gothic" w:eastAsia="Malgun Gothic" w:hAnsi="Malgun Gothic" w:cs="Malgun Gothic"/>
          <w:i/>
          <w:sz w:val="20"/>
          <w:szCs w:val="20"/>
        </w:rPr>
        <w:t>l</w:t>
      </w:r>
      <w:proofErr w:type="spellEnd"/>
      <w:r>
        <w:rPr>
          <w:rFonts w:ascii="Malgun Gothic" w:eastAsia="Malgun Gothic" w:hAnsi="Malgun Gothic" w:cs="Malgun Gothic"/>
          <w:i/>
          <w:sz w:val="20"/>
          <w:szCs w:val="20"/>
        </w:rPr>
        <w:t xml:space="preserve">. Dilute it 20 fold (to 1 </w:t>
      </w:r>
      <w:proofErr w:type="spellStart"/>
      <w:r>
        <w:rPr>
          <w:rFonts w:ascii="Malgun Gothic" w:eastAsia="Malgun Gothic" w:hAnsi="Malgun Gothic" w:cs="Malgun Gothic"/>
          <w:i/>
          <w:sz w:val="20"/>
          <w:szCs w:val="20"/>
        </w:rPr>
        <w:t>ug</w:t>
      </w:r>
      <w:proofErr w:type="spellEnd"/>
      <w:r>
        <w:rPr>
          <w:rFonts w:ascii="Malgun Gothic" w:eastAsia="Malgun Gothic" w:hAnsi="Malgun Gothic" w:cs="Malgun Gothic"/>
          <w:i/>
          <w:sz w:val="20"/>
          <w:szCs w:val="20"/>
        </w:rPr>
        <w:t>/</w:t>
      </w:r>
      <w:proofErr w:type="spellStart"/>
      <w:r>
        <w:rPr>
          <w:rFonts w:ascii="Malgun Gothic" w:eastAsia="Malgun Gothic" w:hAnsi="Malgun Gothic" w:cs="Malgun Gothic"/>
          <w:i/>
          <w:sz w:val="20"/>
          <w:szCs w:val="20"/>
        </w:rPr>
        <w:t>uL</w:t>
      </w:r>
      <w:proofErr w:type="spellEnd"/>
      <w:r>
        <w:rPr>
          <w:rFonts w:ascii="Malgun Gothic" w:eastAsia="Malgun Gothic" w:hAnsi="Malgun Gothic" w:cs="Malgun Gothic"/>
          <w:i/>
          <w:sz w:val="20"/>
          <w:szCs w:val="20"/>
        </w:rPr>
        <w:t xml:space="preserve">), then 8 fold (to 0.125 </w:t>
      </w:r>
      <w:proofErr w:type="spellStart"/>
      <w:r>
        <w:rPr>
          <w:rFonts w:ascii="Malgun Gothic" w:eastAsia="Malgun Gothic" w:hAnsi="Malgun Gothic" w:cs="Malgun Gothic"/>
          <w:i/>
          <w:sz w:val="20"/>
          <w:szCs w:val="20"/>
        </w:rPr>
        <w:t>ug</w:t>
      </w:r>
      <w:proofErr w:type="spellEnd"/>
      <w:r>
        <w:rPr>
          <w:rFonts w:ascii="Malgun Gothic" w:eastAsia="Malgun Gothic" w:hAnsi="Malgun Gothic" w:cs="Malgun Gothic"/>
          <w:i/>
          <w:sz w:val="20"/>
          <w:szCs w:val="20"/>
        </w:rPr>
        <w:t>/</w:t>
      </w:r>
      <w:proofErr w:type="spellStart"/>
      <w:r>
        <w:rPr>
          <w:rFonts w:ascii="Malgun Gothic" w:eastAsia="Malgun Gothic" w:hAnsi="Malgun Gothic" w:cs="Malgun Gothic"/>
          <w:i/>
          <w:sz w:val="20"/>
          <w:szCs w:val="20"/>
        </w:rPr>
        <w:t>uL</w:t>
      </w:r>
      <w:proofErr w:type="spellEnd"/>
      <w:r>
        <w:rPr>
          <w:rFonts w:ascii="Malgun Gothic" w:eastAsia="Malgun Gothic" w:hAnsi="Malgun Gothic" w:cs="Malgun Gothic"/>
          <w:i/>
          <w:sz w:val="20"/>
          <w:szCs w:val="20"/>
        </w:rPr>
        <w:t xml:space="preserve">) in Molecular Biology Water. </w:t>
      </w:r>
    </w:p>
    <w:p w:rsidR="00FA4103" w:rsidRDefault="00163A35">
      <w:pPr>
        <w:contextualSpacing w:val="0"/>
      </w:pPr>
      <w:r>
        <w:t xml:space="preserve"> </w:t>
      </w:r>
    </w:p>
    <w:p w:rsidR="00FA4103" w:rsidRDefault="00163A35">
      <w:pPr>
        <w:spacing w:after="160"/>
        <w:contextualSpacing w:val="0"/>
      </w:pPr>
      <w:r>
        <w:t>3.</w:t>
      </w:r>
      <w:r>
        <w:rPr>
          <w:rFonts w:ascii="Times New Roman" w:eastAsia="Times New Roman" w:hAnsi="Times New Roman" w:cs="Times New Roman"/>
          <w:sz w:val="14"/>
          <w:szCs w:val="14"/>
        </w:rPr>
        <w:t xml:space="preserve">    </w:t>
      </w:r>
      <w:r>
        <w:t>Cut the cap of a 0.5 mL low-retention tube (</w:t>
      </w:r>
      <w:hyperlink r:id="rId9">
        <w:r>
          <w:rPr>
            <w:color w:val="1155CC"/>
            <w:u w:val="single"/>
          </w:rPr>
          <w:t>Thermo-Fisher N8010611</w:t>
        </w:r>
      </w:hyperlink>
      <w:r>
        <w:t xml:space="preserve">) and place the tube directly onto the HS LCM cap. Avoid letting the droplet touch the tube, If it does, collect the entire droplet in the tube by brief centrifugation and try to put it back on the center of the cap. Seal tube with parafilm. </w:t>
      </w:r>
    </w:p>
    <w:p w:rsidR="00FA4103" w:rsidRDefault="00163A35">
      <w:pPr>
        <w:spacing w:after="160"/>
        <w:contextualSpacing w:val="0"/>
      </w:pPr>
      <w:r>
        <w:t>4.</w:t>
      </w:r>
      <w:r>
        <w:rPr>
          <w:rFonts w:ascii="Times New Roman" w:eastAsia="Times New Roman" w:hAnsi="Times New Roman" w:cs="Times New Roman"/>
          <w:sz w:val="14"/>
          <w:szCs w:val="14"/>
        </w:rPr>
        <w:t xml:space="preserve">    </w:t>
      </w:r>
      <w:r>
        <w:t xml:space="preserve">Place the upside-down cap and tube in the pre-warmed incubation block. Be careful to maintain the cap horizontal with the drop in the center. </w:t>
      </w:r>
    </w:p>
    <w:p w:rsidR="00FA4103" w:rsidRDefault="00163A35">
      <w:pPr>
        <w:spacing w:after="160"/>
        <w:contextualSpacing w:val="0"/>
      </w:pPr>
      <w:r>
        <w:t>5.</w:t>
      </w:r>
      <w:r>
        <w:rPr>
          <w:rFonts w:ascii="Times New Roman" w:eastAsia="Times New Roman" w:hAnsi="Times New Roman" w:cs="Times New Roman"/>
          <w:sz w:val="14"/>
          <w:szCs w:val="14"/>
        </w:rPr>
        <w:t xml:space="preserve">    </w:t>
      </w:r>
      <w:r>
        <w:t xml:space="preserve">Incubate 60 min at 60 °C. </w:t>
      </w:r>
    </w:p>
    <w:p w:rsidR="00FA4103" w:rsidRDefault="00163A35">
      <w:pPr>
        <w:spacing w:after="160"/>
        <w:contextualSpacing w:val="0"/>
      </w:pPr>
      <w:r>
        <w:t>6.</w:t>
      </w:r>
      <w:r>
        <w:rPr>
          <w:rFonts w:ascii="Times New Roman" w:eastAsia="Times New Roman" w:hAnsi="Times New Roman" w:cs="Times New Roman"/>
          <w:sz w:val="14"/>
          <w:szCs w:val="14"/>
        </w:rPr>
        <w:t xml:space="preserve">    </w:t>
      </w:r>
      <w:r>
        <w:t xml:space="preserve">When the incubation is complete, briefly centrifuge the tube </w:t>
      </w:r>
      <w:r w:rsidR="00094410">
        <w:t>(with</w:t>
      </w:r>
      <w:r>
        <w:t xml:space="preserve"> cap</w:t>
      </w:r>
      <w:r w:rsidR="00094410">
        <w:t>)</w:t>
      </w:r>
      <w:r>
        <w:t xml:space="preserve"> to collect the lysate, then remove the cap. You can inspect the cap under a microscope to verify complete lysis. Transfer supernatant to a new 0.2</w:t>
      </w:r>
      <w:r w:rsidR="005A7C7C">
        <w:t xml:space="preserve"> µl</w:t>
      </w:r>
      <w:r>
        <w:t xml:space="preserve"> low-retention tube or plate (</w:t>
      </w:r>
      <w:hyperlink r:id="rId10">
        <w:r>
          <w:rPr>
            <w:color w:val="1155CC"/>
            <w:u w:val="single"/>
          </w:rPr>
          <w:t>Eppendorf 0030603303</w:t>
        </w:r>
      </w:hyperlink>
      <w:r>
        <w:t xml:space="preserve">).  </w:t>
      </w:r>
    </w:p>
    <w:p w:rsidR="00FA4103" w:rsidRDefault="00163A35">
      <w:pPr>
        <w:spacing w:after="160"/>
        <w:contextualSpacing w:val="0"/>
      </w:pPr>
      <w:r>
        <w:lastRenderedPageBreak/>
        <w:t>7.</w:t>
      </w:r>
      <w:r>
        <w:rPr>
          <w:rFonts w:ascii="Times New Roman" w:eastAsia="Times New Roman" w:hAnsi="Times New Roman" w:cs="Times New Roman"/>
          <w:sz w:val="14"/>
          <w:szCs w:val="14"/>
        </w:rPr>
        <w:t xml:space="preserve">   </w:t>
      </w:r>
      <w:r>
        <w:t>Prepare FFPE LCM TS-RT Mix (on cold block/ice)</w:t>
      </w:r>
    </w:p>
    <w:p w:rsidR="00FA4103" w:rsidRDefault="00163A35">
      <w:pPr>
        <w:contextualSpacing w:val="0"/>
        <w:rPr>
          <w:b/>
        </w:rPr>
      </w:pPr>
      <w:r>
        <w:rPr>
          <w:b/>
        </w:rPr>
        <w:t>LCM TS-RT Mix</w:t>
      </w:r>
    </w:p>
    <w:tbl>
      <w:tblPr>
        <w:tblStyle w:val="a0"/>
        <w:tblW w:w="91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20"/>
        <w:gridCol w:w="2880"/>
        <w:gridCol w:w="990"/>
        <w:gridCol w:w="1560"/>
      </w:tblGrid>
      <w:tr w:rsidR="00FA4103" w:rsidTr="0001370A">
        <w:trPr>
          <w:trHeight w:val="72"/>
        </w:trPr>
        <w:tc>
          <w:tcPr>
            <w:tcW w:w="3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103" w:rsidRDefault="00163A35">
            <w:pPr>
              <w:contextualSpacing w:val="0"/>
              <w:jc w:val="center"/>
              <w:rPr>
                <w:b/>
              </w:rPr>
            </w:pPr>
            <w:r>
              <w:rPr>
                <w:b/>
              </w:rPr>
              <w:t>REAGENT</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A4103" w:rsidRDefault="00163A35">
            <w:pPr>
              <w:contextualSpacing w:val="0"/>
              <w:jc w:val="center"/>
              <w:rPr>
                <w:b/>
              </w:rPr>
            </w:pPr>
            <w:r>
              <w:rPr>
                <w:b/>
              </w:rPr>
              <w:t>CATALOG NUM.</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A4103" w:rsidRDefault="00163A35">
            <w:pPr>
              <w:contextualSpacing w:val="0"/>
              <w:jc w:val="center"/>
              <w:rPr>
                <w:b/>
              </w:rPr>
            </w:pPr>
            <w:r>
              <w:rPr>
                <w:b/>
              </w:rPr>
              <w:t>Qty</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A4103" w:rsidRDefault="00163A35">
            <w:pPr>
              <w:contextualSpacing w:val="0"/>
              <w:jc w:val="center"/>
              <w:rPr>
                <w:b/>
              </w:rPr>
            </w:pPr>
            <w:r>
              <w:rPr>
                <w:b/>
              </w:rPr>
              <w:t>MULTI (x     )</w:t>
            </w:r>
          </w:p>
        </w:tc>
      </w:tr>
      <w:tr w:rsidR="00FA4103" w:rsidTr="0001370A">
        <w:trPr>
          <w:trHeight w:val="72"/>
        </w:trPr>
        <w:tc>
          <w:tcPr>
            <w:tcW w:w="3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proofErr w:type="spellStart"/>
            <w:r>
              <w:t>SMARTScribe</w:t>
            </w:r>
            <w:proofErr w:type="spellEnd"/>
            <w:r>
              <w:t xml:space="preserve"> buffer, 5X</w:t>
            </w:r>
          </w:p>
        </w:tc>
        <w:tc>
          <w:tcPr>
            <w:tcW w:w="2880" w:type="dxa"/>
            <w:tcBorders>
              <w:bottom w:val="single" w:sz="8" w:space="0" w:color="000000"/>
              <w:right w:val="single" w:sz="8" w:space="0" w:color="000000"/>
            </w:tcBorders>
            <w:tcMar>
              <w:top w:w="100" w:type="dxa"/>
              <w:left w:w="100" w:type="dxa"/>
              <w:bottom w:w="100" w:type="dxa"/>
              <w:right w:w="100" w:type="dxa"/>
            </w:tcMar>
          </w:tcPr>
          <w:p w:rsidR="00FA4103" w:rsidRDefault="005B24FB">
            <w:pPr>
              <w:contextualSpacing w:val="0"/>
              <w:rPr>
                <w:color w:val="1155CC"/>
                <w:sz w:val="21"/>
                <w:szCs w:val="21"/>
                <w:highlight w:val="white"/>
                <w:u w:val="single"/>
              </w:rPr>
            </w:pPr>
            <w:hyperlink r:id="rId11">
              <w:proofErr w:type="spellStart"/>
              <w:r w:rsidR="00163A35">
                <w:rPr>
                  <w:color w:val="1155CC"/>
                  <w:u w:val="single"/>
                </w:rPr>
                <w:t>Takarabio</w:t>
              </w:r>
              <w:proofErr w:type="spellEnd"/>
              <w:r w:rsidR="00163A35">
                <w:rPr>
                  <w:color w:val="1155CC"/>
                  <w:u w:val="single"/>
                </w:rPr>
                <w:t xml:space="preserve"> </w:t>
              </w:r>
            </w:hyperlink>
            <w:r w:rsidR="00163A35">
              <w:fldChar w:fldCharType="begin"/>
            </w:r>
            <w:r w:rsidR="00163A35">
              <w:instrText xml:space="preserve"> HYPERLINK "https://www.takarabio.com/products/cdna-synthesis/reverse-transcriptases/smartscribe" </w:instrText>
            </w:r>
            <w:r w:rsidR="00163A35">
              <w:fldChar w:fldCharType="separate"/>
            </w:r>
            <w:r w:rsidR="00163A35">
              <w:rPr>
                <w:color w:val="1155CC"/>
                <w:sz w:val="21"/>
                <w:szCs w:val="21"/>
                <w:highlight w:val="white"/>
                <w:u w:val="single"/>
              </w:rPr>
              <w:t>639538</w:t>
            </w:r>
          </w:p>
        </w:tc>
        <w:tc>
          <w:tcPr>
            <w:tcW w:w="990"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fldChar w:fldCharType="end"/>
            </w:r>
            <w:r>
              <w:t xml:space="preserve">2.0 </w:t>
            </w:r>
            <w:proofErr w:type="spellStart"/>
            <w:r>
              <w:t>μL</w:t>
            </w:r>
            <w:proofErr w:type="spellEnd"/>
          </w:p>
        </w:tc>
        <w:tc>
          <w:tcPr>
            <w:tcW w:w="1560" w:type="dxa"/>
            <w:tcBorders>
              <w:bottom w:val="single" w:sz="8" w:space="0" w:color="000000"/>
              <w:right w:val="single" w:sz="8" w:space="0" w:color="000000"/>
            </w:tcBorders>
            <w:tcMar>
              <w:top w:w="100" w:type="dxa"/>
              <w:left w:w="100" w:type="dxa"/>
              <w:bottom w:w="100" w:type="dxa"/>
              <w:right w:w="100" w:type="dxa"/>
            </w:tcMar>
          </w:tcPr>
          <w:p w:rsidR="00FA4103" w:rsidRDefault="00163A35">
            <w:pPr>
              <w:ind w:left="540"/>
              <w:contextualSpacing w:val="0"/>
            </w:pPr>
            <w:r>
              <w:t xml:space="preserve"> </w:t>
            </w:r>
          </w:p>
        </w:tc>
      </w:tr>
      <w:tr w:rsidR="00FA4103" w:rsidTr="0001370A">
        <w:trPr>
          <w:trHeight w:val="72"/>
        </w:trPr>
        <w:tc>
          <w:tcPr>
            <w:tcW w:w="3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t>Dithiothreitol (DTT,  20 mM)</w:t>
            </w:r>
          </w:p>
        </w:tc>
        <w:tc>
          <w:tcPr>
            <w:tcW w:w="2880" w:type="dxa"/>
            <w:tcBorders>
              <w:bottom w:val="single" w:sz="8" w:space="0" w:color="000000"/>
              <w:right w:val="single" w:sz="8" w:space="0" w:color="000000"/>
            </w:tcBorders>
            <w:tcMar>
              <w:top w:w="100" w:type="dxa"/>
              <w:left w:w="100" w:type="dxa"/>
              <w:bottom w:w="100" w:type="dxa"/>
              <w:right w:w="100" w:type="dxa"/>
            </w:tcMar>
          </w:tcPr>
          <w:p w:rsidR="00FA4103" w:rsidRDefault="005B24FB">
            <w:pPr>
              <w:contextualSpacing w:val="0"/>
              <w:rPr>
                <w:color w:val="1155CC"/>
                <w:sz w:val="21"/>
                <w:szCs w:val="21"/>
                <w:highlight w:val="white"/>
                <w:u w:val="single"/>
              </w:rPr>
            </w:pPr>
            <w:hyperlink r:id="rId12">
              <w:proofErr w:type="spellStart"/>
              <w:r w:rsidR="00163A35">
                <w:rPr>
                  <w:color w:val="1155CC"/>
                  <w:u w:val="single"/>
                </w:rPr>
                <w:t>Takarabio</w:t>
              </w:r>
              <w:proofErr w:type="spellEnd"/>
              <w:r w:rsidR="00163A35">
                <w:rPr>
                  <w:color w:val="1155CC"/>
                  <w:u w:val="single"/>
                </w:rPr>
                <w:t xml:space="preserve"> </w:t>
              </w:r>
            </w:hyperlink>
            <w:r w:rsidR="00163A35">
              <w:fldChar w:fldCharType="begin"/>
            </w:r>
            <w:r w:rsidR="00163A35">
              <w:instrText xml:space="preserve"> HYPERLINK "https://www.takarabio.com/products/cdna-synthesis/reverse-transcriptases/smartscribe" </w:instrText>
            </w:r>
            <w:r w:rsidR="00163A35">
              <w:fldChar w:fldCharType="separate"/>
            </w:r>
            <w:r w:rsidR="00163A35">
              <w:rPr>
                <w:color w:val="1155CC"/>
                <w:sz w:val="21"/>
                <w:szCs w:val="21"/>
                <w:highlight w:val="white"/>
                <w:u w:val="single"/>
              </w:rPr>
              <w:t>639538</w:t>
            </w:r>
          </w:p>
        </w:tc>
        <w:tc>
          <w:tcPr>
            <w:tcW w:w="990"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fldChar w:fldCharType="end"/>
            </w:r>
            <w:r>
              <w:t>1.0</w:t>
            </w:r>
            <w:r w:rsidR="005A7C7C">
              <w:t xml:space="preserve"> µl</w:t>
            </w:r>
            <w: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rsidR="00FA4103" w:rsidRDefault="00163A35">
            <w:pPr>
              <w:ind w:left="540"/>
              <w:contextualSpacing w:val="0"/>
            </w:pPr>
            <w:r>
              <w:t xml:space="preserve"> </w:t>
            </w:r>
          </w:p>
        </w:tc>
      </w:tr>
      <w:tr w:rsidR="00FA4103" w:rsidTr="0001370A">
        <w:trPr>
          <w:trHeight w:val="72"/>
        </w:trPr>
        <w:tc>
          <w:tcPr>
            <w:tcW w:w="3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t xml:space="preserve">RNase inhibitor (20 x) </w:t>
            </w:r>
          </w:p>
        </w:tc>
        <w:tc>
          <w:tcPr>
            <w:tcW w:w="2880"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rPr>
                <w:color w:val="1155CC"/>
                <w:u w:val="single"/>
              </w:rPr>
            </w:pPr>
            <w:r>
              <w:fldChar w:fldCharType="begin"/>
            </w:r>
            <w:r>
              <w:instrText xml:space="preserve"> HYPERLINK "https://www.thermofisher.com/order/catalog/product/AM2694" </w:instrText>
            </w:r>
            <w:r>
              <w:fldChar w:fldCharType="separate"/>
            </w:r>
            <w:r>
              <w:rPr>
                <w:color w:val="1155CC"/>
                <w:u w:val="single"/>
              </w:rPr>
              <w:t>Thermo-Fisher AM2694</w:t>
            </w:r>
          </w:p>
        </w:tc>
        <w:tc>
          <w:tcPr>
            <w:tcW w:w="990"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fldChar w:fldCharType="end"/>
            </w:r>
            <w:r>
              <w:t>0.5</w:t>
            </w:r>
            <w:r w:rsidR="005A7C7C">
              <w:t xml:space="preserve"> µl</w:t>
            </w:r>
            <w: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rsidR="00FA4103" w:rsidRDefault="00163A35">
            <w:pPr>
              <w:ind w:left="540"/>
              <w:contextualSpacing w:val="0"/>
            </w:pPr>
            <w:r>
              <w:t xml:space="preserve"> </w:t>
            </w:r>
          </w:p>
        </w:tc>
      </w:tr>
      <w:tr w:rsidR="00FA4103" w:rsidTr="0001370A">
        <w:trPr>
          <w:trHeight w:val="72"/>
        </w:trPr>
        <w:tc>
          <w:tcPr>
            <w:tcW w:w="3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t>Second strand primer (2S, 50 uM)</w:t>
            </w:r>
          </w:p>
        </w:tc>
        <w:tc>
          <w:tcPr>
            <w:tcW w:w="2880"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t xml:space="preserve">IDT: Note </w:t>
            </w:r>
            <w:r w:rsidR="004D2B65">
              <w:t>2</w:t>
            </w:r>
          </w:p>
        </w:tc>
        <w:tc>
          <w:tcPr>
            <w:tcW w:w="990"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t>0.2</w:t>
            </w:r>
            <w:r w:rsidR="005A7C7C">
              <w:t xml:space="preserve"> µl</w:t>
            </w:r>
            <w: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rsidR="00FA4103" w:rsidRDefault="00163A35">
            <w:pPr>
              <w:ind w:left="540"/>
              <w:contextualSpacing w:val="0"/>
            </w:pPr>
            <w:r>
              <w:t xml:space="preserve"> </w:t>
            </w:r>
          </w:p>
        </w:tc>
      </w:tr>
      <w:tr w:rsidR="00FA4103" w:rsidTr="0001370A">
        <w:trPr>
          <w:trHeight w:val="72"/>
        </w:trPr>
        <w:tc>
          <w:tcPr>
            <w:tcW w:w="3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t>MgCl</w:t>
            </w:r>
            <w:r>
              <w:rPr>
                <w:vertAlign w:val="subscript"/>
              </w:rPr>
              <w:t>2</w:t>
            </w:r>
            <w:r>
              <w:t xml:space="preserve"> (200 mM) </w:t>
            </w:r>
          </w:p>
        </w:tc>
        <w:tc>
          <w:tcPr>
            <w:tcW w:w="2880"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rPr>
                <w:color w:val="1155CC"/>
                <w:u w:val="single"/>
              </w:rPr>
            </w:pPr>
            <w:r>
              <w:fldChar w:fldCharType="begin"/>
            </w:r>
            <w:r>
              <w:instrText xml:space="preserve"> HYPERLINK "https://www.sigmaaldrich.com/catalog/product/sigma/m1028?lang=en&amp;region=US" </w:instrText>
            </w:r>
            <w:r>
              <w:fldChar w:fldCharType="separate"/>
            </w:r>
            <w:r>
              <w:rPr>
                <w:color w:val="1155CC"/>
                <w:u w:val="single"/>
              </w:rPr>
              <w:t>Millipore-sigma M1028</w:t>
            </w:r>
          </w:p>
        </w:tc>
        <w:tc>
          <w:tcPr>
            <w:tcW w:w="990"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fldChar w:fldCharType="end"/>
            </w:r>
            <w:r>
              <w:t>0.2</w:t>
            </w:r>
            <w:r w:rsidR="005A7C7C">
              <w:t xml:space="preserve"> µl</w:t>
            </w:r>
            <w: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rsidR="00FA4103" w:rsidRDefault="00163A35">
            <w:pPr>
              <w:ind w:left="540"/>
              <w:contextualSpacing w:val="0"/>
            </w:pPr>
            <w:r>
              <w:t xml:space="preserve"> </w:t>
            </w:r>
          </w:p>
        </w:tc>
      </w:tr>
      <w:tr w:rsidR="00FA4103" w:rsidTr="0001370A">
        <w:trPr>
          <w:trHeight w:val="72"/>
        </w:trPr>
        <w:tc>
          <w:tcPr>
            <w:tcW w:w="3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t xml:space="preserve">Proteinase K inhibitor (5 mM in DMSO) </w:t>
            </w:r>
          </w:p>
        </w:tc>
        <w:tc>
          <w:tcPr>
            <w:tcW w:w="2880"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rPr>
                <w:color w:val="1155CC"/>
                <w:u w:val="single"/>
              </w:rPr>
            </w:pPr>
            <w:r>
              <w:fldChar w:fldCharType="begin"/>
            </w:r>
            <w:r>
              <w:instrText xml:space="preserve"> HYPERLINK "http://www.emdmillipore.com/US/en/product/Proteinase-K-Inhibitor-Calbiochem,EMD_BIO-539470" </w:instrText>
            </w:r>
            <w:r>
              <w:fldChar w:fldCharType="separate"/>
            </w:r>
            <w:r>
              <w:rPr>
                <w:color w:val="1155CC"/>
                <w:u w:val="single"/>
              </w:rPr>
              <w:t>Millipore-Sigma 539470</w:t>
            </w:r>
          </w:p>
        </w:tc>
        <w:tc>
          <w:tcPr>
            <w:tcW w:w="990"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fldChar w:fldCharType="end"/>
            </w:r>
            <w:r>
              <w:t>0.1</w:t>
            </w:r>
            <w:r w:rsidR="005A7C7C">
              <w:t xml:space="preserve"> µl</w:t>
            </w:r>
            <w: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rsidR="00FA4103" w:rsidRDefault="00163A35">
            <w:pPr>
              <w:ind w:left="540"/>
              <w:contextualSpacing w:val="0"/>
            </w:pPr>
            <w:r>
              <w:t xml:space="preserve"> </w:t>
            </w:r>
          </w:p>
        </w:tc>
      </w:tr>
      <w:tr w:rsidR="00FA4103" w:rsidTr="0001370A">
        <w:trPr>
          <w:trHeight w:val="72"/>
        </w:trPr>
        <w:tc>
          <w:tcPr>
            <w:tcW w:w="3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proofErr w:type="spellStart"/>
            <w:r>
              <w:t>SMARTScribe</w:t>
            </w:r>
            <w:proofErr w:type="spellEnd"/>
            <w:r>
              <w:t xml:space="preserve"> reverse </w:t>
            </w:r>
            <w:proofErr w:type="spellStart"/>
            <w:r>
              <w:t>transc</w:t>
            </w:r>
            <w:proofErr w:type="spellEnd"/>
            <w:r>
              <w:t>. (100 U/</w:t>
            </w:r>
            <w:proofErr w:type="spellStart"/>
            <w:r>
              <w:t>ul</w:t>
            </w:r>
            <w:proofErr w:type="spellEnd"/>
            <w:r>
              <w:t>)</w:t>
            </w:r>
          </w:p>
        </w:tc>
        <w:tc>
          <w:tcPr>
            <w:tcW w:w="2880" w:type="dxa"/>
            <w:tcBorders>
              <w:bottom w:val="single" w:sz="8" w:space="0" w:color="000000"/>
              <w:right w:val="single" w:sz="8" w:space="0" w:color="000000"/>
            </w:tcBorders>
            <w:tcMar>
              <w:top w:w="100" w:type="dxa"/>
              <w:left w:w="100" w:type="dxa"/>
              <w:bottom w:w="100" w:type="dxa"/>
              <w:right w:w="100" w:type="dxa"/>
            </w:tcMar>
          </w:tcPr>
          <w:p w:rsidR="00FA4103" w:rsidRDefault="005B24FB">
            <w:pPr>
              <w:contextualSpacing w:val="0"/>
              <w:rPr>
                <w:color w:val="1155CC"/>
                <w:sz w:val="21"/>
                <w:szCs w:val="21"/>
                <w:highlight w:val="white"/>
                <w:u w:val="single"/>
              </w:rPr>
            </w:pPr>
            <w:hyperlink r:id="rId13">
              <w:proofErr w:type="spellStart"/>
              <w:r w:rsidR="00163A35">
                <w:rPr>
                  <w:color w:val="1155CC"/>
                  <w:u w:val="single"/>
                </w:rPr>
                <w:t>Takarabio</w:t>
              </w:r>
              <w:proofErr w:type="spellEnd"/>
              <w:r w:rsidR="00163A35">
                <w:rPr>
                  <w:color w:val="1155CC"/>
                  <w:u w:val="single"/>
                </w:rPr>
                <w:t xml:space="preserve"> </w:t>
              </w:r>
            </w:hyperlink>
            <w:r w:rsidR="00163A35">
              <w:fldChar w:fldCharType="begin"/>
            </w:r>
            <w:r w:rsidR="00163A35">
              <w:instrText xml:space="preserve"> HYPERLINK "https://www.takarabio.com/products/cdna-synthesis/reverse-transcriptases/smartscribe" </w:instrText>
            </w:r>
            <w:r w:rsidR="00163A35">
              <w:fldChar w:fldCharType="separate"/>
            </w:r>
            <w:r w:rsidR="00163A35">
              <w:rPr>
                <w:color w:val="1155CC"/>
                <w:sz w:val="21"/>
                <w:szCs w:val="21"/>
                <w:highlight w:val="white"/>
                <w:u w:val="single"/>
              </w:rPr>
              <w:t>639538</w:t>
            </w:r>
          </w:p>
        </w:tc>
        <w:tc>
          <w:tcPr>
            <w:tcW w:w="990"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fldChar w:fldCharType="end"/>
            </w:r>
            <w:r>
              <w:t>1.0</w:t>
            </w:r>
            <w:r w:rsidR="005A7C7C">
              <w:t xml:space="preserve"> µl</w:t>
            </w:r>
            <w: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rsidR="00FA4103" w:rsidRDefault="00163A35">
            <w:pPr>
              <w:ind w:left="540"/>
              <w:contextualSpacing w:val="0"/>
            </w:pPr>
            <w:r>
              <w:t xml:space="preserve"> </w:t>
            </w:r>
          </w:p>
        </w:tc>
      </w:tr>
      <w:tr w:rsidR="00FA4103" w:rsidTr="0001370A">
        <w:trPr>
          <w:trHeight w:val="72"/>
        </w:trPr>
        <w:tc>
          <w:tcPr>
            <w:tcW w:w="3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4103" w:rsidRDefault="00163A35">
            <w:pPr>
              <w:ind w:left="540"/>
              <w:contextualSpacing w:val="0"/>
            </w:pPr>
            <w:r>
              <w:t xml:space="preserve"> </w:t>
            </w:r>
          </w:p>
        </w:tc>
        <w:tc>
          <w:tcPr>
            <w:tcW w:w="2880"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rPr>
                <w:b/>
              </w:rPr>
            </w:pPr>
            <w:r>
              <w:rPr>
                <w:b/>
              </w:rPr>
              <w:t>FINAL Volume</w:t>
            </w:r>
          </w:p>
        </w:tc>
        <w:tc>
          <w:tcPr>
            <w:tcW w:w="990" w:type="dxa"/>
            <w:tcBorders>
              <w:bottom w:val="single" w:sz="8" w:space="0" w:color="000000"/>
              <w:right w:val="single" w:sz="8" w:space="0" w:color="000000"/>
            </w:tcBorders>
            <w:tcMar>
              <w:top w:w="100" w:type="dxa"/>
              <w:left w:w="100" w:type="dxa"/>
              <w:bottom w:w="100" w:type="dxa"/>
              <w:right w:w="100" w:type="dxa"/>
            </w:tcMar>
          </w:tcPr>
          <w:p w:rsidR="00FA4103" w:rsidRDefault="00163A35">
            <w:pPr>
              <w:contextualSpacing w:val="0"/>
            </w:pPr>
            <w:r>
              <w:t>5.0</w:t>
            </w:r>
            <w:r w:rsidR="005A7C7C">
              <w:t xml:space="preserve"> µl</w:t>
            </w:r>
            <w: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rsidR="00FA4103" w:rsidRDefault="00163A35">
            <w:pPr>
              <w:ind w:left="540"/>
              <w:contextualSpacing w:val="0"/>
            </w:pPr>
            <w:r>
              <w:t xml:space="preserve"> </w:t>
            </w:r>
          </w:p>
        </w:tc>
      </w:tr>
    </w:tbl>
    <w:p w:rsidR="00FA4103" w:rsidRDefault="00163A35">
      <w:pPr>
        <w:contextualSpacing w:val="0"/>
      </w:pPr>
      <w:r>
        <w:t xml:space="preserve"> </w:t>
      </w:r>
    </w:p>
    <w:p w:rsidR="0055782D" w:rsidRPr="0001370A" w:rsidRDefault="00163A35" w:rsidP="0001370A">
      <w:pPr>
        <w:spacing w:after="160"/>
        <w:contextualSpacing w:val="0"/>
      </w:pPr>
      <w:r>
        <w:t>8.</w:t>
      </w:r>
      <w:r>
        <w:rPr>
          <w:rFonts w:ascii="Times New Roman" w:eastAsia="Times New Roman" w:hAnsi="Times New Roman" w:cs="Times New Roman"/>
          <w:sz w:val="14"/>
          <w:szCs w:val="14"/>
        </w:rPr>
        <w:t xml:space="preserve">    </w:t>
      </w:r>
      <w:r>
        <w:t>Prepare(preheat) thermal-cycler with (Program 1: TS-RT Only)</w:t>
      </w:r>
    </w:p>
    <w:tbl>
      <w:tblPr>
        <w:tblStyle w:val="a1"/>
        <w:tblW w:w="87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0"/>
        <w:gridCol w:w="2610"/>
        <w:gridCol w:w="2160"/>
        <w:gridCol w:w="3540"/>
      </w:tblGrid>
      <w:tr w:rsidR="0055782D" w:rsidTr="0001370A">
        <w:trPr>
          <w:trHeight w:val="20"/>
        </w:trPr>
        <w:tc>
          <w:tcPr>
            <w:tcW w:w="430" w:type="dxa"/>
            <w:vMerge w:val="restart"/>
            <w:tcBorders>
              <w:top w:val="single" w:sz="8" w:space="0" w:color="000000"/>
              <w:left w:val="single" w:sz="8" w:space="0" w:color="000000"/>
              <w:right w:val="single" w:sz="8" w:space="0" w:color="000000"/>
            </w:tcBorders>
            <w:textDirection w:val="btLr"/>
          </w:tcPr>
          <w:p w:rsidR="0055782D" w:rsidRPr="0001370A" w:rsidRDefault="0055782D" w:rsidP="0055782D">
            <w:pPr>
              <w:snapToGrid w:val="0"/>
              <w:spacing w:line="240" w:lineRule="auto"/>
              <w:ind w:left="113" w:right="113"/>
              <w:rPr>
                <w:b/>
                <w:sz w:val="20"/>
                <w:szCs w:val="20"/>
              </w:rPr>
            </w:pPr>
            <w:r w:rsidRPr="0001370A">
              <w:rPr>
                <w:b/>
                <w:sz w:val="20"/>
                <w:szCs w:val="20"/>
              </w:rPr>
              <w:t>Pr</w:t>
            </w:r>
            <w:r w:rsidR="0001370A" w:rsidRPr="0001370A">
              <w:rPr>
                <w:b/>
                <w:sz w:val="20"/>
                <w:szCs w:val="20"/>
              </w:rPr>
              <w:t>ogram 1: TS-RT</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782D" w:rsidRDefault="0055782D" w:rsidP="0055782D">
            <w:pPr>
              <w:snapToGrid w:val="0"/>
              <w:spacing w:line="240" w:lineRule="auto"/>
              <w:ind w:left="619"/>
              <w:rPr>
                <w:b/>
              </w:rPr>
            </w:pPr>
            <w:r>
              <w:rPr>
                <w:b/>
              </w:rPr>
              <w:t>Temperature</w:t>
            </w:r>
          </w:p>
        </w:tc>
        <w:tc>
          <w:tcPr>
            <w:tcW w:w="21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5782D" w:rsidRDefault="0055782D" w:rsidP="0055782D">
            <w:pPr>
              <w:snapToGrid w:val="0"/>
              <w:spacing w:line="240" w:lineRule="auto"/>
              <w:ind w:left="619"/>
              <w:rPr>
                <w:b/>
              </w:rPr>
            </w:pPr>
            <w:r>
              <w:rPr>
                <w:b/>
              </w:rPr>
              <w:t>Time (min)</w:t>
            </w:r>
          </w:p>
        </w:tc>
        <w:tc>
          <w:tcPr>
            <w:tcW w:w="35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5782D" w:rsidRDefault="0055782D" w:rsidP="0055782D">
            <w:pPr>
              <w:snapToGrid w:val="0"/>
              <w:spacing w:line="240" w:lineRule="auto"/>
              <w:ind w:left="619"/>
              <w:rPr>
                <w:b/>
              </w:rPr>
            </w:pPr>
            <w:r>
              <w:rPr>
                <w:b/>
              </w:rPr>
              <w:t>Cycles</w:t>
            </w:r>
          </w:p>
        </w:tc>
      </w:tr>
      <w:tr w:rsidR="0055782D" w:rsidTr="00094410">
        <w:trPr>
          <w:trHeight w:val="20"/>
        </w:trPr>
        <w:tc>
          <w:tcPr>
            <w:tcW w:w="430" w:type="dxa"/>
            <w:vMerge/>
            <w:tcBorders>
              <w:left w:val="single" w:sz="8" w:space="0" w:color="000000"/>
              <w:right w:val="single" w:sz="8" w:space="0" w:color="000000"/>
            </w:tcBorders>
          </w:tcPr>
          <w:p w:rsidR="0055782D" w:rsidRDefault="0055782D" w:rsidP="005A7C7C">
            <w:pPr>
              <w:snapToGrid w:val="0"/>
              <w:spacing w:line="240" w:lineRule="exact"/>
              <w:ind w:left="619"/>
            </w:pPr>
          </w:p>
        </w:tc>
        <w:tc>
          <w:tcPr>
            <w:tcW w:w="2610" w:type="dxa"/>
            <w:tcBorders>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55782D" w:rsidRDefault="0055782D" w:rsidP="005A7C7C">
            <w:pPr>
              <w:snapToGrid w:val="0"/>
              <w:spacing w:line="240" w:lineRule="exact"/>
              <w:ind w:left="619"/>
            </w:pPr>
            <w:r>
              <w:t>42 °C</w:t>
            </w:r>
          </w:p>
        </w:tc>
        <w:tc>
          <w:tcPr>
            <w:tcW w:w="2160"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55782D" w:rsidRDefault="0055782D" w:rsidP="005A7C7C">
            <w:pPr>
              <w:snapToGrid w:val="0"/>
              <w:spacing w:line="240" w:lineRule="exact"/>
              <w:ind w:left="619"/>
            </w:pPr>
            <w:r>
              <w:t>hold</w:t>
            </w:r>
          </w:p>
        </w:tc>
        <w:tc>
          <w:tcPr>
            <w:tcW w:w="3540"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55782D" w:rsidRDefault="0055782D" w:rsidP="005A7C7C">
            <w:pPr>
              <w:snapToGrid w:val="0"/>
              <w:spacing w:line="240" w:lineRule="exact"/>
              <w:ind w:left="619"/>
            </w:pPr>
            <w:r>
              <w:t>1</w:t>
            </w:r>
          </w:p>
        </w:tc>
      </w:tr>
      <w:tr w:rsidR="0055782D" w:rsidTr="00EB3403">
        <w:trPr>
          <w:trHeight w:val="20"/>
        </w:trPr>
        <w:tc>
          <w:tcPr>
            <w:tcW w:w="430" w:type="dxa"/>
            <w:vMerge/>
            <w:tcBorders>
              <w:left w:val="single" w:sz="8" w:space="0" w:color="000000"/>
              <w:right w:val="single" w:sz="8" w:space="0" w:color="000000"/>
            </w:tcBorders>
          </w:tcPr>
          <w:p w:rsidR="0055782D" w:rsidRDefault="0055782D" w:rsidP="005A7C7C">
            <w:pPr>
              <w:snapToGrid w:val="0"/>
              <w:spacing w:line="240" w:lineRule="exact"/>
              <w:ind w:left="619"/>
            </w:pPr>
          </w:p>
        </w:tc>
        <w:tc>
          <w:tcPr>
            <w:tcW w:w="26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782D" w:rsidRDefault="0055782D" w:rsidP="005A7C7C">
            <w:pPr>
              <w:snapToGrid w:val="0"/>
              <w:spacing w:line="240" w:lineRule="exact"/>
              <w:ind w:left="619"/>
            </w:pPr>
            <w:r>
              <w:t>42 °C</w:t>
            </w:r>
          </w:p>
        </w:tc>
        <w:tc>
          <w:tcPr>
            <w:tcW w:w="2160" w:type="dxa"/>
            <w:tcBorders>
              <w:bottom w:val="single" w:sz="8" w:space="0" w:color="000000"/>
              <w:right w:val="single" w:sz="8" w:space="0" w:color="000000"/>
            </w:tcBorders>
            <w:tcMar>
              <w:top w:w="100" w:type="dxa"/>
              <w:left w:w="100" w:type="dxa"/>
              <w:bottom w:w="100" w:type="dxa"/>
              <w:right w:w="100" w:type="dxa"/>
            </w:tcMar>
          </w:tcPr>
          <w:p w:rsidR="0055782D" w:rsidRDefault="0055782D" w:rsidP="005A7C7C">
            <w:pPr>
              <w:snapToGrid w:val="0"/>
              <w:spacing w:line="240" w:lineRule="exact"/>
              <w:ind w:left="619"/>
            </w:pPr>
            <w:r>
              <w:t xml:space="preserve">30 </w:t>
            </w:r>
          </w:p>
        </w:tc>
        <w:tc>
          <w:tcPr>
            <w:tcW w:w="3540" w:type="dxa"/>
            <w:tcBorders>
              <w:bottom w:val="single" w:sz="8" w:space="0" w:color="000000"/>
              <w:right w:val="single" w:sz="8" w:space="0" w:color="000000"/>
            </w:tcBorders>
            <w:tcMar>
              <w:top w:w="100" w:type="dxa"/>
              <w:left w:w="100" w:type="dxa"/>
              <w:bottom w:w="100" w:type="dxa"/>
              <w:right w:w="100" w:type="dxa"/>
            </w:tcMar>
          </w:tcPr>
          <w:p w:rsidR="0055782D" w:rsidRDefault="0055782D" w:rsidP="005A7C7C">
            <w:pPr>
              <w:snapToGrid w:val="0"/>
              <w:spacing w:line="240" w:lineRule="exact"/>
              <w:ind w:left="619"/>
            </w:pPr>
            <w:r>
              <w:t>1</w:t>
            </w:r>
          </w:p>
        </w:tc>
      </w:tr>
      <w:tr w:rsidR="0055782D" w:rsidTr="00094410">
        <w:trPr>
          <w:trHeight w:val="20"/>
        </w:trPr>
        <w:tc>
          <w:tcPr>
            <w:tcW w:w="430" w:type="dxa"/>
            <w:vMerge/>
            <w:tcBorders>
              <w:left w:val="single" w:sz="8" w:space="0" w:color="000000"/>
              <w:right w:val="single" w:sz="8" w:space="0" w:color="000000"/>
            </w:tcBorders>
          </w:tcPr>
          <w:p w:rsidR="0055782D" w:rsidRDefault="0055782D" w:rsidP="005A7C7C">
            <w:pPr>
              <w:snapToGrid w:val="0"/>
              <w:spacing w:line="240" w:lineRule="exact"/>
              <w:ind w:left="619"/>
            </w:pPr>
          </w:p>
        </w:tc>
        <w:tc>
          <w:tcPr>
            <w:tcW w:w="2610" w:type="dxa"/>
            <w:tcBorders>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55782D" w:rsidRDefault="0055782D" w:rsidP="005A7C7C">
            <w:pPr>
              <w:snapToGrid w:val="0"/>
              <w:spacing w:line="240" w:lineRule="exact"/>
              <w:ind w:left="619"/>
            </w:pPr>
            <w:r>
              <w:t>70 °C</w:t>
            </w:r>
          </w:p>
        </w:tc>
        <w:tc>
          <w:tcPr>
            <w:tcW w:w="2160"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55782D" w:rsidRDefault="0055782D" w:rsidP="005A7C7C">
            <w:pPr>
              <w:snapToGrid w:val="0"/>
              <w:spacing w:line="240" w:lineRule="exact"/>
              <w:ind w:left="619"/>
            </w:pPr>
            <w:r>
              <w:t>10</w:t>
            </w:r>
          </w:p>
        </w:tc>
        <w:tc>
          <w:tcPr>
            <w:tcW w:w="3540"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55782D" w:rsidRDefault="0055782D" w:rsidP="005A7C7C">
            <w:pPr>
              <w:snapToGrid w:val="0"/>
              <w:spacing w:line="240" w:lineRule="exact"/>
              <w:ind w:left="619"/>
            </w:pPr>
            <w:r>
              <w:t>1</w:t>
            </w:r>
          </w:p>
        </w:tc>
      </w:tr>
      <w:tr w:rsidR="0055782D" w:rsidTr="0055782D">
        <w:trPr>
          <w:trHeight w:val="20"/>
        </w:trPr>
        <w:tc>
          <w:tcPr>
            <w:tcW w:w="430" w:type="dxa"/>
            <w:vMerge/>
            <w:tcBorders>
              <w:left w:val="single" w:sz="8" w:space="0" w:color="000000"/>
              <w:bottom w:val="single" w:sz="8" w:space="0" w:color="000000"/>
              <w:right w:val="single" w:sz="8" w:space="0" w:color="000000"/>
            </w:tcBorders>
          </w:tcPr>
          <w:p w:rsidR="0055782D" w:rsidRDefault="0055782D" w:rsidP="005A7C7C">
            <w:pPr>
              <w:snapToGrid w:val="0"/>
              <w:spacing w:line="240" w:lineRule="exact"/>
              <w:ind w:left="619"/>
            </w:pPr>
          </w:p>
        </w:tc>
        <w:tc>
          <w:tcPr>
            <w:tcW w:w="26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5782D" w:rsidRDefault="0055782D" w:rsidP="005A7C7C">
            <w:pPr>
              <w:snapToGrid w:val="0"/>
              <w:spacing w:line="240" w:lineRule="exact"/>
              <w:ind w:left="619"/>
            </w:pPr>
            <w:r>
              <w:t>4 °C</w:t>
            </w:r>
          </w:p>
        </w:tc>
        <w:tc>
          <w:tcPr>
            <w:tcW w:w="2160" w:type="dxa"/>
            <w:tcBorders>
              <w:bottom w:val="single" w:sz="8" w:space="0" w:color="000000"/>
              <w:right w:val="single" w:sz="8" w:space="0" w:color="000000"/>
            </w:tcBorders>
            <w:tcMar>
              <w:top w:w="100" w:type="dxa"/>
              <w:left w:w="100" w:type="dxa"/>
              <w:bottom w:w="100" w:type="dxa"/>
              <w:right w:w="100" w:type="dxa"/>
            </w:tcMar>
          </w:tcPr>
          <w:p w:rsidR="0055782D" w:rsidRDefault="0055782D" w:rsidP="005A7C7C">
            <w:pPr>
              <w:snapToGrid w:val="0"/>
              <w:spacing w:line="240" w:lineRule="exact"/>
              <w:ind w:left="619"/>
            </w:pPr>
            <w:r>
              <w:t>hold</w:t>
            </w:r>
          </w:p>
        </w:tc>
        <w:tc>
          <w:tcPr>
            <w:tcW w:w="3540" w:type="dxa"/>
            <w:tcBorders>
              <w:bottom w:val="single" w:sz="8" w:space="0" w:color="000000"/>
              <w:right w:val="single" w:sz="8" w:space="0" w:color="000000"/>
            </w:tcBorders>
            <w:tcMar>
              <w:top w:w="100" w:type="dxa"/>
              <w:left w:w="100" w:type="dxa"/>
              <w:bottom w:w="100" w:type="dxa"/>
              <w:right w:w="100" w:type="dxa"/>
            </w:tcMar>
          </w:tcPr>
          <w:p w:rsidR="0055782D" w:rsidRDefault="0055782D" w:rsidP="005A7C7C">
            <w:pPr>
              <w:snapToGrid w:val="0"/>
              <w:spacing w:line="240" w:lineRule="exact"/>
              <w:ind w:left="619"/>
            </w:pPr>
            <w:r>
              <w:t>1</w:t>
            </w:r>
          </w:p>
        </w:tc>
      </w:tr>
    </w:tbl>
    <w:p w:rsidR="00FA4103" w:rsidRDefault="00163A35">
      <w:pPr>
        <w:contextualSpacing w:val="0"/>
      </w:pPr>
      <w:r>
        <w:t xml:space="preserve"> </w:t>
      </w:r>
    </w:p>
    <w:p w:rsidR="00FA4103" w:rsidRDefault="00163A35">
      <w:pPr>
        <w:spacing w:after="160"/>
        <w:contextualSpacing w:val="0"/>
      </w:pPr>
      <w:r>
        <w:t>9.</w:t>
      </w:r>
      <w:r>
        <w:rPr>
          <w:rFonts w:ascii="Times New Roman" w:eastAsia="Times New Roman" w:hAnsi="Times New Roman" w:cs="Times New Roman"/>
          <w:sz w:val="14"/>
          <w:szCs w:val="14"/>
        </w:rPr>
        <w:t xml:space="preserve">    </w:t>
      </w:r>
      <w:r>
        <w:t>Place the tube (from step 6) in the thermal cycler, add 5</w:t>
      </w:r>
      <w:r w:rsidR="005A7C7C">
        <w:t xml:space="preserve"> µl</w:t>
      </w:r>
      <w:r>
        <w:t xml:space="preserve"> LCM TS-RT mix (step 7) and end the 42 °C hold. </w:t>
      </w:r>
    </w:p>
    <w:p w:rsidR="00FA4103" w:rsidRDefault="00163A35">
      <w:pPr>
        <w:spacing w:after="160"/>
        <w:contextualSpacing w:val="0"/>
      </w:pPr>
      <w:r>
        <w:t>10.</w:t>
      </w:r>
      <w:r>
        <w:rPr>
          <w:rFonts w:ascii="Times New Roman" w:eastAsia="Times New Roman" w:hAnsi="Times New Roman" w:cs="Times New Roman"/>
          <w:sz w:val="14"/>
          <w:szCs w:val="14"/>
        </w:rPr>
        <w:t xml:space="preserve">  </w:t>
      </w:r>
      <w:r>
        <w:t>After completion of Program</w:t>
      </w:r>
      <w:r w:rsidR="0055782D">
        <w:t xml:space="preserve"> </w:t>
      </w:r>
      <w:r>
        <w:t>1. Transfer</w:t>
      </w:r>
      <w:r w:rsidR="0001370A">
        <w:t xml:space="preserve"> samples</w:t>
      </w:r>
      <w:r>
        <w:t xml:space="preserve"> to cold block/ice</w:t>
      </w:r>
    </w:p>
    <w:p w:rsidR="00FA4103" w:rsidRDefault="00163A35">
      <w:pPr>
        <w:spacing w:after="160"/>
        <w:contextualSpacing w:val="0"/>
      </w:pPr>
      <w:r>
        <w:t>11.</w:t>
      </w:r>
      <w:r>
        <w:rPr>
          <w:rFonts w:ascii="Times New Roman" w:eastAsia="Times New Roman" w:hAnsi="Times New Roman" w:cs="Times New Roman"/>
          <w:sz w:val="14"/>
          <w:szCs w:val="14"/>
        </w:rPr>
        <w:t xml:space="preserve">  </w:t>
      </w:r>
      <w:r>
        <w:t>Prepare (preheat) thermal-cycler with (Program 2: PCR)</w:t>
      </w:r>
    </w:p>
    <w:p w:rsidR="00094410" w:rsidRDefault="00094410">
      <w:pPr>
        <w:spacing w:after="160"/>
        <w:contextualSpacing w:val="0"/>
      </w:pPr>
    </w:p>
    <w:p w:rsidR="00094410" w:rsidRDefault="00094410">
      <w:pPr>
        <w:spacing w:after="160"/>
        <w:contextualSpacing w:val="0"/>
      </w:pPr>
    </w:p>
    <w:p w:rsidR="00094410" w:rsidRDefault="00094410">
      <w:pPr>
        <w:spacing w:after="160"/>
        <w:contextualSpacing w:val="0"/>
      </w:pPr>
    </w:p>
    <w:p w:rsidR="00094410" w:rsidRDefault="00094410">
      <w:pPr>
        <w:spacing w:after="160"/>
        <w:contextualSpacing w:val="0"/>
      </w:pPr>
    </w:p>
    <w:p w:rsidR="00094410" w:rsidRDefault="00094410">
      <w:pPr>
        <w:spacing w:after="160"/>
        <w:contextualSpacing w:val="0"/>
      </w:pPr>
    </w:p>
    <w:tbl>
      <w:tblPr>
        <w:tblStyle w:val="a2"/>
        <w:tblW w:w="88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0"/>
        <w:gridCol w:w="2340"/>
        <w:gridCol w:w="1260"/>
        <w:gridCol w:w="2880"/>
        <w:gridCol w:w="1890"/>
      </w:tblGrid>
      <w:tr w:rsidR="00094410" w:rsidTr="00094410">
        <w:trPr>
          <w:trHeight w:val="20"/>
        </w:trPr>
        <w:tc>
          <w:tcPr>
            <w:tcW w:w="430" w:type="dxa"/>
            <w:vMerge w:val="restart"/>
            <w:tcBorders>
              <w:top w:val="single" w:sz="8" w:space="0" w:color="000000"/>
              <w:left w:val="single" w:sz="8" w:space="0" w:color="000000"/>
              <w:right w:val="single" w:sz="8" w:space="0" w:color="000000"/>
            </w:tcBorders>
            <w:textDirection w:val="btLr"/>
          </w:tcPr>
          <w:p w:rsidR="00094410" w:rsidRDefault="00094410" w:rsidP="00094410">
            <w:pPr>
              <w:ind w:left="620" w:right="113"/>
              <w:contextualSpacing w:val="0"/>
              <w:rPr>
                <w:b/>
              </w:rPr>
            </w:pPr>
            <w:r>
              <w:rPr>
                <w:b/>
              </w:rPr>
              <w:lastRenderedPageBreak/>
              <w:t>Program 2: PCR</w:t>
            </w:r>
          </w:p>
        </w:tc>
        <w:tc>
          <w:tcPr>
            <w:tcW w:w="3600" w:type="dxa"/>
            <w:gridSpan w:val="2"/>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094410" w:rsidRDefault="00094410">
            <w:pPr>
              <w:ind w:left="620"/>
              <w:contextualSpacing w:val="0"/>
              <w:rPr>
                <w:b/>
              </w:rPr>
            </w:pPr>
            <w:r>
              <w:rPr>
                <w:b/>
              </w:rPr>
              <w:t>Temperature</w:t>
            </w:r>
          </w:p>
        </w:tc>
        <w:tc>
          <w:tcPr>
            <w:tcW w:w="2880" w:type="dxa"/>
            <w:tcBorders>
              <w:top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rsidR="00094410" w:rsidRDefault="00094410">
            <w:pPr>
              <w:ind w:left="620"/>
              <w:contextualSpacing w:val="0"/>
              <w:rPr>
                <w:b/>
              </w:rPr>
            </w:pPr>
            <w:r>
              <w:rPr>
                <w:b/>
              </w:rPr>
              <w:t xml:space="preserve">Time </w:t>
            </w:r>
          </w:p>
        </w:tc>
        <w:tc>
          <w:tcPr>
            <w:tcW w:w="1890" w:type="dxa"/>
            <w:tcBorders>
              <w:top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rsidR="00094410" w:rsidRDefault="00094410">
            <w:pPr>
              <w:ind w:left="620"/>
              <w:contextualSpacing w:val="0"/>
              <w:rPr>
                <w:b/>
              </w:rPr>
            </w:pPr>
            <w:r>
              <w:rPr>
                <w:b/>
              </w:rPr>
              <w:t>Cycles</w:t>
            </w:r>
          </w:p>
        </w:tc>
      </w:tr>
      <w:tr w:rsidR="00094410" w:rsidTr="00094410">
        <w:trPr>
          <w:trHeight w:val="20"/>
        </w:trPr>
        <w:tc>
          <w:tcPr>
            <w:tcW w:w="430" w:type="dxa"/>
            <w:vMerge/>
            <w:tcBorders>
              <w:left w:val="single" w:sz="8" w:space="0" w:color="000000"/>
              <w:right w:val="single" w:sz="8" w:space="0" w:color="000000"/>
            </w:tcBorders>
            <w:shd w:val="clear" w:color="auto" w:fill="F2F2F2" w:themeFill="background1" w:themeFillShade="F2"/>
          </w:tcPr>
          <w:p w:rsidR="00094410" w:rsidRDefault="00094410">
            <w:pPr>
              <w:ind w:left="620"/>
              <w:contextualSpacing w:val="0"/>
            </w:pPr>
          </w:p>
        </w:tc>
        <w:tc>
          <w:tcPr>
            <w:tcW w:w="2340" w:type="dxa"/>
            <w:tcBorders>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094410" w:rsidRDefault="00094410" w:rsidP="00094410">
            <w:pPr>
              <w:contextualSpacing w:val="0"/>
            </w:pPr>
            <w:r>
              <w:t>98 °C</w:t>
            </w:r>
          </w:p>
        </w:tc>
        <w:tc>
          <w:tcPr>
            <w:tcW w:w="1260"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094410" w:rsidRDefault="00094410">
            <w:pPr>
              <w:ind w:left="620"/>
              <w:contextualSpacing w:val="0"/>
            </w:pPr>
            <w:r>
              <w:t xml:space="preserve"> </w:t>
            </w:r>
          </w:p>
        </w:tc>
        <w:tc>
          <w:tcPr>
            <w:tcW w:w="2880"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094410" w:rsidRDefault="00094410">
            <w:pPr>
              <w:ind w:left="620"/>
              <w:contextualSpacing w:val="0"/>
            </w:pPr>
            <w:r>
              <w:t>Hold</w:t>
            </w:r>
          </w:p>
        </w:tc>
        <w:tc>
          <w:tcPr>
            <w:tcW w:w="1890"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094410" w:rsidRDefault="00094410">
            <w:pPr>
              <w:ind w:left="620"/>
              <w:contextualSpacing w:val="0"/>
            </w:pPr>
            <w:r>
              <w:t>1</w:t>
            </w:r>
          </w:p>
        </w:tc>
      </w:tr>
      <w:tr w:rsidR="00094410" w:rsidTr="00094410">
        <w:trPr>
          <w:trHeight w:val="191"/>
        </w:trPr>
        <w:tc>
          <w:tcPr>
            <w:tcW w:w="430" w:type="dxa"/>
            <w:vMerge/>
            <w:tcBorders>
              <w:left w:val="single" w:sz="8" w:space="0" w:color="000000"/>
              <w:right w:val="single" w:sz="8" w:space="0" w:color="000000"/>
            </w:tcBorders>
          </w:tcPr>
          <w:p w:rsidR="00094410" w:rsidRDefault="00094410">
            <w:pPr>
              <w:ind w:left="620"/>
              <w:contextualSpacing w:val="0"/>
            </w:pPr>
          </w:p>
        </w:tc>
        <w:tc>
          <w:tcPr>
            <w:tcW w:w="23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94410" w:rsidRDefault="00094410" w:rsidP="00094410">
            <w:pPr>
              <w:contextualSpacing w:val="0"/>
            </w:pPr>
            <w:r>
              <w:t>98 °C</w:t>
            </w:r>
          </w:p>
        </w:tc>
        <w:tc>
          <w:tcPr>
            <w:tcW w:w="1260" w:type="dxa"/>
            <w:tcBorders>
              <w:bottom w:val="single" w:sz="8" w:space="0" w:color="000000"/>
              <w:right w:val="single" w:sz="8" w:space="0" w:color="000000"/>
            </w:tcBorders>
            <w:shd w:val="clear" w:color="auto" w:fill="auto"/>
            <w:tcMar>
              <w:top w:w="100" w:type="dxa"/>
              <w:left w:w="100" w:type="dxa"/>
              <w:bottom w:w="100" w:type="dxa"/>
              <w:right w:w="100" w:type="dxa"/>
            </w:tcMar>
          </w:tcPr>
          <w:p w:rsidR="00094410" w:rsidRDefault="00094410">
            <w:pPr>
              <w:ind w:left="620"/>
              <w:contextualSpacing w:val="0"/>
            </w:pPr>
            <w:r>
              <w:t xml:space="preserve"> </w:t>
            </w:r>
          </w:p>
        </w:tc>
        <w:tc>
          <w:tcPr>
            <w:tcW w:w="2880" w:type="dxa"/>
            <w:tcBorders>
              <w:bottom w:val="single" w:sz="8" w:space="0" w:color="000000"/>
              <w:right w:val="single" w:sz="8" w:space="0" w:color="000000"/>
            </w:tcBorders>
            <w:shd w:val="clear" w:color="auto" w:fill="auto"/>
            <w:tcMar>
              <w:top w:w="100" w:type="dxa"/>
              <w:left w:w="100" w:type="dxa"/>
              <w:bottom w:w="100" w:type="dxa"/>
              <w:right w:w="100" w:type="dxa"/>
            </w:tcMar>
          </w:tcPr>
          <w:p w:rsidR="00094410" w:rsidRDefault="00094410">
            <w:pPr>
              <w:ind w:left="620"/>
              <w:contextualSpacing w:val="0"/>
            </w:pPr>
            <w:r>
              <w:t>45 sec</w:t>
            </w:r>
          </w:p>
        </w:tc>
        <w:tc>
          <w:tcPr>
            <w:tcW w:w="1890" w:type="dxa"/>
            <w:tcBorders>
              <w:bottom w:val="single" w:sz="8" w:space="0" w:color="000000"/>
              <w:right w:val="single" w:sz="8" w:space="0" w:color="000000"/>
            </w:tcBorders>
            <w:shd w:val="clear" w:color="auto" w:fill="auto"/>
            <w:tcMar>
              <w:top w:w="100" w:type="dxa"/>
              <w:left w:w="100" w:type="dxa"/>
              <w:bottom w:w="100" w:type="dxa"/>
              <w:right w:w="100" w:type="dxa"/>
            </w:tcMar>
          </w:tcPr>
          <w:p w:rsidR="00094410" w:rsidRDefault="00094410">
            <w:pPr>
              <w:ind w:left="620"/>
              <w:contextualSpacing w:val="0"/>
            </w:pPr>
            <w:r>
              <w:t>1</w:t>
            </w:r>
          </w:p>
        </w:tc>
      </w:tr>
      <w:tr w:rsidR="005969F0" w:rsidTr="005969F0">
        <w:trPr>
          <w:trHeight w:val="20"/>
        </w:trPr>
        <w:tc>
          <w:tcPr>
            <w:tcW w:w="430" w:type="dxa"/>
            <w:vMerge/>
            <w:tcBorders>
              <w:left w:val="single" w:sz="8" w:space="0" w:color="000000"/>
              <w:right w:val="single" w:sz="8" w:space="0" w:color="000000"/>
            </w:tcBorders>
          </w:tcPr>
          <w:p w:rsidR="005969F0" w:rsidRDefault="005969F0">
            <w:pPr>
              <w:ind w:left="620"/>
              <w:contextualSpacing w:val="0"/>
            </w:pPr>
          </w:p>
        </w:tc>
        <w:tc>
          <w:tcPr>
            <w:tcW w:w="2340" w:type="dxa"/>
            <w:vMerge w:val="restart"/>
            <w:tcBorders>
              <w:left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5969F0" w:rsidRDefault="005969F0">
            <w:pPr>
              <w:ind w:left="620"/>
              <w:contextualSpacing w:val="0"/>
            </w:pPr>
            <w:r>
              <w:t xml:space="preserve"> </w:t>
            </w:r>
          </w:p>
          <w:p w:rsidR="005969F0" w:rsidRDefault="005969F0">
            <w:pPr>
              <w:ind w:left="620"/>
              <w:contextualSpacing w:val="0"/>
            </w:pPr>
            <w:r>
              <w:t xml:space="preserve"> </w:t>
            </w:r>
          </w:p>
          <w:p w:rsidR="005969F0" w:rsidRDefault="005969F0" w:rsidP="00047F1C">
            <w:pPr>
              <w:ind w:left="620"/>
              <w:contextualSpacing w:val="0"/>
            </w:pPr>
            <w:r>
              <w:t xml:space="preserve"> </w:t>
            </w:r>
          </w:p>
        </w:tc>
        <w:tc>
          <w:tcPr>
            <w:tcW w:w="1260"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5969F0" w:rsidRDefault="005969F0" w:rsidP="00094410">
            <w:pPr>
              <w:contextualSpacing w:val="0"/>
            </w:pPr>
            <w:r>
              <w:t>98 °C</w:t>
            </w:r>
          </w:p>
        </w:tc>
        <w:tc>
          <w:tcPr>
            <w:tcW w:w="2880"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5969F0" w:rsidRDefault="005969F0">
            <w:pPr>
              <w:ind w:left="620"/>
              <w:contextualSpacing w:val="0"/>
            </w:pPr>
            <w:r>
              <w:t>10 sec</w:t>
            </w:r>
          </w:p>
        </w:tc>
        <w:tc>
          <w:tcPr>
            <w:tcW w:w="1890" w:type="dxa"/>
            <w:vMerge w:val="restart"/>
            <w:tcBorders>
              <w:right w:val="single" w:sz="8" w:space="0" w:color="000000"/>
            </w:tcBorders>
            <w:shd w:val="clear" w:color="auto" w:fill="F2F2F2" w:themeFill="background1" w:themeFillShade="F2"/>
            <w:tcMar>
              <w:top w:w="100" w:type="dxa"/>
              <w:left w:w="100" w:type="dxa"/>
              <w:bottom w:w="100" w:type="dxa"/>
              <w:right w:w="100" w:type="dxa"/>
            </w:tcMar>
            <w:vAlign w:val="center"/>
          </w:tcPr>
          <w:p w:rsidR="005969F0" w:rsidRDefault="005969F0" w:rsidP="00193F42">
            <w:pPr>
              <w:contextualSpacing w:val="0"/>
              <w:rPr>
                <w:sz w:val="16"/>
                <w:szCs w:val="16"/>
              </w:rPr>
            </w:pPr>
            <w:r>
              <w:t xml:space="preserve">12* </w:t>
            </w:r>
            <w:r w:rsidRPr="00190D92">
              <w:rPr>
                <w:sz w:val="16"/>
                <w:szCs w:val="16"/>
              </w:rPr>
              <w:t>(</w:t>
            </w:r>
            <w:r w:rsidRPr="00411061">
              <w:rPr>
                <w:b/>
                <w:sz w:val="16"/>
                <w:szCs w:val="16"/>
              </w:rPr>
              <w:t>see note 4</w:t>
            </w:r>
            <w:r w:rsidRPr="00190D92">
              <w:rPr>
                <w:sz w:val="16"/>
                <w:szCs w:val="16"/>
              </w:rPr>
              <w:t>)</w:t>
            </w:r>
          </w:p>
          <w:p w:rsidR="005969F0" w:rsidRDefault="005969F0" w:rsidP="005A7C7C">
            <w:pPr>
              <w:ind w:left="620"/>
              <w:contextualSpacing w:val="0"/>
              <w:rPr>
                <w:sz w:val="16"/>
                <w:szCs w:val="16"/>
              </w:rPr>
            </w:pPr>
          </w:p>
        </w:tc>
      </w:tr>
      <w:tr w:rsidR="005969F0" w:rsidTr="005969F0">
        <w:trPr>
          <w:trHeight w:val="20"/>
        </w:trPr>
        <w:tc>
          <w:tcPr>
            <w:tcW w:w="430" w:type="dxa"/>
            <w:vMerge/>
            <w:tcBorders>
              <w:left w:val="single" w:sz="8" w:space="0" w:color="000000"/>
              <w:right w:val="single" w:sz="8" w:space="0" w:color="000000"/>
            </w:tcBorders>
          </w:tcPr>
          <w:p w:rsidR="005969F0" w:rsidRDefault="005969F0">
            <w:pPr>
              <w:ind w:left="620"/>
              <w:contextualSpacing w:val="0"/>
            </w:pPr>
          </w:p>
        </w:tc>
        <w:tc>
          <w:tcPr>
            <w:tcW w:w="2340"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5969F0" w:rsidRDefault="005969F0" w:rsidP="00047F1C">
            <w:pPr>
              <w:ind w:left="620"/>
              <w:contextualSpacing w:val="0"/>
            </w:pPr>
          </w:p>
        </w:tc>
        <w:tc>
          <w:tcPr>
            <w:tcW w:w="1260"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5969F0" w:rsidRDefault="005969F0" w:rsidP="00094410">
            <w:pPr>
              <w:contextualSpacing w:val="0"/>
            </w:pPr>
            <w:r>
              <w:t>60 °C</w:t>
            </w:r>
          </w:p>
        </w:tc>
        <w:tc>
          <w:tcPr>
            <w:tcW w:w="2880"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5969F0" w:rsidRDefault="005969F0">
            <w:pPr>
              <w:ind w:left="620"/>
              <w:contextualSpacing w:val="0"/>
            </w:pPr>
            <w:r>
              <w:t>30 sec</w:t>
            </w:r>
          </w:p>
        </w:tc>
        <w:tc>
          <w:tcPr>
            <w:tcW w:w="1890" w:type="dxa"/>
            <w:vMerge/>
            <w:tcBorders>
              <w:right w:val="single" w:sz="8" w:space="0" w:color="000000"/>
            </w:tcBorders>
            <w:shd w:val="clear" w:color="auto" w:fill="auto"/>
            <w:tcMar>
              <w:top w:w="100" w:type="dxa"/>
              <w:left w:w="100" w:type="dxa"/>
              <w:bottom w:w="100" w:type="dxa"/>
              <w:right w:w="100" w:type="dxa"/>
            </w:tcMar>
          </w:tcPr>
          <w:p w:rsidR="005969F0" w:rsidRDefault="005969F0" w:rsidP="00737D19">
            <w:pPr>
              <w:ind w:left="620"/>
              <w:contextualSpacing w:val="0"/>
            </w:pPr>
          </w:p>
        </w:tc>
      </w:tr>
      <w:tr w:rsidR="005969F0" w:rsidTr="005969F0">
        <w:trPr>
          <w:trHeight w:val="20"/>
        </w:trPr>
        <w:tc>
          <w:tcPr>
            <w:tcW w:w="430" w:type="dxa"/>
            <w:vMerge/>
            <w:tcBorders>
              <w:left w:val="single" w:sz="8" w:space="0" w:color="000000"/>
              <w:right w:val="single" w:sz="8" w:space="0" w:color="000000"/>
            </w:tcBorders>
          </w:tcPr>
          <w:p w:rsidR="005969F0" w:rsidRDefault="005969F0">
            <w:pPr>
              <w:ind w:left="620"/>
              <w:contextualSpacing w:val="0"/>
            </w:pPr>
          </w:p>
        </w:tc>
        <w:tc>
          <w:tcPr>
            <w:tcW w:w="234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9F0" w:rsidRDefault="005969F0">
            <w:pPr>
              <w:ind w:left="620"/>
              <w:contextualSpacing w:val="0"/>
            </w:pPr>
          </w:p>
        </w:tc>
        <w:tc>
          <w:tcPr>
            <w:tcW w:w="1260"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5969F0" w:rsidRDefault="005969F0" w:rsidP="00094410">
            <w:pPr>
              <w:contextualSpacing w:val="0"/>
            </w:pPr>
            <w:r>
              <w:t>72 °C</w:t>
            </w:r>
          </w:p>
        </w:tc>
        <w:tc>
          <w:tcPr>
            <w:tcW w:w="2880"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5969F0" w:rsidRDefault="005969F0">
            <w:pPr>
              <w:ind w:left="620"/>
              <w:contextualSpacing w:val="0"/>
            </w:pPr>
            <w:r>
              <w:t>10 sec</w:t>
            </w:r>
          </w:p>
        </w:tc>
        <w:tc>
          <w:tcPr>
            <w:tcW w:w="18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969F0" w:rsidRDefault="005969F0">
            <w:pPr>
              <w:ind w:left="620"/>
              <w:contextualSpacing w:val="0"/>
            </w:pPr>
          </w:p>
        </w:tc>
      </w:tr>
      <w:tr w:rsidR="00094410" w:rsidTr="005969F0">
        <w:trPr>
          <w:trHeight w:val="20"/>
        </w:trPr>
        <w:tc>
          <w:tcPr>
            <w:tcW w:w="430" w:type="dxa"/>
            <w:vMerge/>
            <w:tcBorders>
              <w:left w:val="single" w:sz="8" w:space="0" w:color="000000"/>
              <w:right w:val="single" w:sz="8" w:space="0" w:color="000000"/>
            </w:tcBorders>
            <w:shd w:val="clear" w:color="auto" w:fill="F2F2F2" w:themeFill="background1" w:themeFillShade="F2"/>
          </w:tcPr>
          <w:p w:rsidR="00094410" w:rsidRDefault="00094410">
            <w:pPr>
              <w:ind w:left="620"/>
              <w:contextualSpacing w:val="0"/>
            </w:pPr>
          </w:p>
        </w:tc>
        <w:tc>
          <w:tcPr>
            <w:tcW w:w="2340"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4410" w:rsidRDefault="00094410" w:rsidP="00094410">
            <w:pPr>
              <w:contextualSpacing w:val="0"/>
            </w:pPr>
            <w:r>
              <w:t>72 °C</w:t>
            </w:r>
          </w:p>
        </w:tc>
        <w:tc>
          <w:tcPr>
            <w:tcW w:w="126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4410" w:rsidRDefault="00094410">
            <w:pPr>
              <w:ind w:left="620"/>
              <w:contextualSpacing w:val="0"/>
            </w:pPr>
            <w:r>
              <w:t xml:space="preserve"> </w:t>
            </w:r>
          </w:p>
        </w:tc>
        <w:tc>
          <w:tcPr>
            <w:tcW w:w="288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4410" w:rsidRDefault="00094410">
            <w:pPr>
              <w:ind w:left="620"/>
              <w:contextualSpacing w:val="0"/>
            </w:pPr>
            <w:r>
              <w:t>60 sec</w:t>
            </w:r>
          </w:p>
        </w:tc>
        <w:tc>
          <w:tcPr>
            <w:tcW w:w="189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rsidR="00094410" w:rsidRDefault="00094410">
            <w:pPr>
              <w:ind w:left="620"/>
              <w:contextualSpacing w:val="0"/>
            </w:pPr>
            <w:r>
              <w:t>1</w:t>
            </w:r>
          </w:p>
        </w:tc>
      </w:tr>
      <w:tr w:rsidR="00094410" w:rsidTr="005969F0">
        <w:trPr>
          <w:trHeight w:val="164"/>
        </w:trPr>
        <w:tc>
          <w:tcPr>
            <w:tcW w:w="430" w:type="dxa"/>
            <w:vMerge/>
            <w:tcBorders>
              <w:left w:val="single" w:sz="8" w:space="0" w:color="000000"/>
              <w:bottom w:val="single" w:sz="8" w:space="0" w:color="000000"/>
              <w:right w:val="single" w:sz="8" w:space="0" w:color="000000"/>
            </w:tcBorders>
            <w:shd w:val="clear" w:color="auto" w:fill="FFFFFF" w:themeFill="background1"/>
          </w:tcPr>
          <w:p w:rsidR="00094410" w:rsidRDefault="00094410">
            <w:pPr>
              <w:ind w:left="620"/>
              <w:contextualSpacing w:val="0"/>
            </w:pPr>
          </w:p>
        </w:tc>
        <w:tc>
          <w:tcPr>
            <w:tcW w:w="2340" w:type="dxa"/>
            <w:tcBorders>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094410" w:rsidRDefault="00094410" w:rsidP="00094410">
            <w:pPr>
              <w:contextualSpacing w:val="0"/>
            </w:pPr>
            <w:r>
              <w:t>4 °C</w:t>
            </w:r>
          </w:p>
        </w:tc>
        <w:tc>
          <w:tcPr>
            <w:tcW w:w="1260"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094410" w:rsidRDefault="00094410">
            <w:pPr>
              <w:ind w:left="620"/>
              <w:contextualSpacing w:val="0"/>
            </w:pPr>
            <w:r>
              <w:t xml:space="preserve"> </w:t>
            </w:r>
          </w:p>
        </w:tc>
        <w:tc>
          <w:tcPr>
            <w:tcW w:w="2880"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094410" w:rsidRDefault="00094410">
            <w:pPr>
              <w:ind w:left="620"/>
              <w:contextualSpacing w:val="0"/>
            </w:pPr>
            <w:r>
              <w:t>hold</w:t>
            </w:r>
          </w:p>
        </w:tc>
        <w:tc>
          <w:tcPr>
            <w:tcW w:w="1890" w:type="dxa"/>
            <w:tcBorders>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094410" w:rsidRDefault="00094410">
            <w:pPr>
              <w:ind w:left="620"/>
              <w:contextualSpacing w:val="0"/>
            </w:pPr>
            <w:r>
              <w:t>1</w:t>
            </w:r>
          </w:p>
        </w:tc>
      </w:tr>
    </w:tbl>
    <w:p w:rsidR="00FA4103" w:rsidRDefault="00163A35" w:rsidP="00504650">
      <w:pPr>
        <w:spacing w:line="240" w:lineRule="exact"/>
        <w:contextualSpacing w:val="0"/>
        <w:rPr>
          <w:rFonts w:ascii="Malgun Gothic" w:eastAsia="Malgun Gothic" w:hAnsi="Malgun Gothic" w:cs="Malgun Gothic"/>
          <w:i/>
          <w:sz w:val="20"/>
          <w:szCs w:val="20"/>
        </w:rPr>
      </w:pPr>
      <w:r>
        <w:t xml:space="preserve"> </w:t>
      </w:r>
    </w:p>
    <w:p w:rsidR="00504650" w:rsidRDefault="00504650">
      <w:pPr>
        <w:contextualSpacing w:val="0"/>
      </w:pPr>
    </w:p>
    <w:p w:rsidR="00FA4103" w:rsidRDefault="00163A35">
      <w:pPr>
        <w:spacing w:after="160"/>
        <w:contextualSpacing w:val="0"/>
      </w:pPr>
      <w:r>
        <w:t>12.</w:t>
      </w:r>
      <w:r>
        <w:rPr>
          <w:rFonts w:ascii="Times New Roman" w:eastAsia="Times New Roman" w:hAnsi="Times New Roman" w:cs="Times New Roman"/>
          <w:sz w:val="14"/>
          <w:szCs w:val="14"/>
        </w:rPr>
        <w:t xml:space="preserve">  </w:t>
      </w:r>
      <w:r>
        <w:t xml:space="preserve">Add 2.5 </w:t>
      </w:r>
      <w:proofErr w:type="spellStart"/>
      <w:r>
        <w:t>μL</w:t>
      </w:r>
      <w:proofErr w:type="spellEnd"/>
      <w:r>
        <w:t xml:space="preserve"> PCR primer mix with this library's unique combination of indexes (</w:t>
      </w:r>
      <w:r w:rsidRPr="00F00EA1">
        <w:rPr>
          <w:b/>
        </w:rPr>
        <w:t xml:space="preserve">see Note </w:t>
      </w:r>
      <w:r w:rsidR="00F00EA1" w:rsidRPr="00F00EA1">
        <w:rPr>
          <w:b/>
        </w:rPr>
        <w:t>3</w:t>
      </w:r>
      <w:r>
        <w:t xml:space="preserve">), 2 </w:t>
      </w:r>
      <w:proofErr w:type="spellStart"/>
      <w:r>
        <w:t>μM</w:t>
      </w:r>
      <w:proofErr w:type="spellEnd"/>
      <w:r>
        <w:t xml:space="preserve"> each.</w:t>
      </w:r>
    </w:p>
    <w:p w:rsidR="00FA4103" w:rsidRDefault="00163A35">
      <w:pPr>
        <w:spacing w:after="160"/>
        <w:contextualSpacing w:val="0"/>
      </w:pPr>
      <w:r>
        <w:t>13.</w:t>
      </w:r>
      <w:r>
        <w:rPr>
          <w:rFonts w:ascii="Times New Roman" w:eastAsia="Times New Roman" w:hAnsi="Times New Roman" w:cs="Times New Roman"/>
          <w:sz w:val="14"/>
          <w:szCs w:val="14"/>
        </w:rPr>
        <w:t xml:space="preserve">  </w:t>
      </w:r>
      <w:r>
        <w:t xml:space="preserve">Add 12.5 </w:t>
      </w:r>
      <w:proofErr w:type="spellStart"/>
      <w:r>
        <w:t>μL</w:t>
      </w:r>
      <w:proofErr w:type="spellEnd"/>
      <w:r>
        <w:t xml:space="preserve"> </w:t>
      </w:r>
      <w:proofErr w:type="spellStart"/>
      <w:r>
        <w:t>HiFi</w:t>
      </w:r>
      <w:proofErr w:type="spellEnd"/>
      <w:r>
        <w:t xml:space="preserve"> </w:t>
      </w:r>
      <w:proofErr w:type="spellStart"/>
      <w:r>
        <w:t>HotStart</w:t>
      </w:r>
      <w:proofErr w:type="spellEnd"/>
      <w:r>
        <w:t xml:space="preserve"> </w:t>
      </w:r>
      <w:proofErr w:type="spellStart"/>
      <w:r>
        <w:t>ReadyMix</w:t>
      </w:r>
      <w:proofErr w:type="spellEnd"/>
      <w:r>
        <w:t xml:space="preserve"> (2X) (</w:t>
      </w:r>
      <w:hyperlink r:id="rId14" w:anchor="accordion-order">
        <w:r>
          <w:rPr>
            <w:color w:val="1155CC"/>
            <w:u w:val="single"/>
          </w:rPr>
          <w:t>Kapa KK2601</w:t>
        </w:r>
      </w:hyperlink>
      <w:r>
        <w:t>), and mix by pipetting. Final volume should be 25</w:t>
      </w:r>
      <w:r w:rsidR="005A7C7C">
        <w:t xml:space="preserve"> µl</w:t>
      </w:r>
      <w:r>
        <w:t>.</w:t>
      </w:r>
    </w:p>
    <w:p w:rsidR="00FA4103" w:rsidRDefault="00163A35">
      <w:pPr>
        <w:spacing w:after="160"/>
        <w:contextualSpacing w:val="0"/>
      </w:pPr>
      <w:r>
        <w:t>14.</w:t>
      </w:r>
      <w:r>
        <w:rPr>
          <w:rFonts w:ascii="Times New Roman" w:eastAsia="Times New Roman" w:hAnsi="Times New Roman" w:cs="Times New Roman"/>
          <w:sz w:val="14"/>
          <w:szCs w:val="14"/>
        </w:rPr>
        <w:t xml:space="preserve">  </w:t>
      </w:r>
      <w:r>
        <w:t>Place tube in thermal cycler (step 11) and start program 2.</w:t>
      </w:r>
    </w:p>
    <w:p w:rsidR="00FA4103" w:rsidRDefault="00163A35">
      <w:pPr>
        <w:spacing w:after="160"/>
        <w:contextualSpacing w:val="0"/>
      </w:pPr>
      <w:r>
        <w:t>15.</w:t>
      </w:r>
      <w:r>
        <w:rPr>
          <w:rFonts w:ascii="Times New Roman" w:eastAsia="Times New Roman" w:hAnsi="Times New Roman" w:cs="Times New Roman"/>
          <w:sz w:val="14"/>
          <w:szCs w:val="14"/>
        </w:rPr>
        <w:t xml:space="preserve">  </w:t>
      </w:r>
      <w:r>
        <w:t>When Program 2 reaches the 4 °C hold and the samples have cooled, briefly centrifuge the tubes (or plate).</w:t>
      </w:r>
    </w:p>
    <w:p w:rsidR="006810CF" w:rsidRDefault="006810CF">
      <w:pPr>
        <w:spacing w:after="160"/>
        <w:contextualSpacing w:val="0"/>
      </w:pPr>
      <w:r>
        <w:t xml:space="preserve">16. </w:t>
      </w:r>
      <w:r>
        <w:rPr>
          <w:lang w:val="en-US"/>
        </w:rPr>
        <w:t>C</w:t>
      </w:r>
      <w:r w:rsidRPr="006810CF">
        <w:rPr>
          <w:lang w:val="en-US"/>
        </w:rPr>
        <w:t>ombine the samples</w:t>
      </w:r>
      <w:r>
        <w:rPr>
          <w:lang w:val="en-US"/>
        </w:rPr>
        <w:t xml:space="preserve"> </w:t>
      </w:r>
      <w:r w:rsidRPr="006810CF">
        <w:rPr>
          <w:lang w:val="en-US"/>
        </w:rPr>
        <w:t>into a single 1.5 mL (N ≤ 3</w:t>
      </w:r>
      <w:r w:rsidR="00930CB0">
        <w:rPr>
          <w:lang w:val="en-US"/>
        </w:rPr>
        <w:t>5</w:t>
      </w:r>
      <w:r w:rsidRPr="006810CF">
        <w:rPr>
          <w:lang w:val="en-US"/>
        </w:rPr>
        <w:t xml:space="preserve"> samples) or 2.0 mL (N ≤ </w:t>
      </w:r>
      <w:r w:rsidR="00930CB0">
        <w:rPr>
          <w:lang w:val="en-US"/>
        </w:rPr>
        <w:t>47</w:t>
      </w:r>
      <w:r w:rsidRPr="006810CF">
        <w:rPr>
          <w:lang w:val="en-US"/>
        </w:rPr>
        <w:t>) low-retention tube.</w:t>
      </w:r>
    </w:p>
    <w:p w:rsidR="00FA4103" w:rsidRDefault="00163A35">
      <w:pPr>
        <w:spacing w:after="160"/>
        <w:contextualSpacing w:val="0"/>
      </w:pPr>
      <w:r>
        <w:t>1</w:t>
      </w:r>
      <w:r w:rsidR="006810CF">
        <w:t>7</w:t>
      </w:r>
      <w:r>
        <w:t>.</w:t>
      </w:r>
      <w:r>
        <w:rPr>
          <w:rFonts w:ascii="Times New Roman" w:eastAsia="Times New Roman" w:hAnsi="Times New Roman" w:cs="Times New Roman"/>
          <w:sz w:val="14"/>
          <w:szCs w:val="14"/>
        </w:rPr>
        <w:t xml:space="preserve">  </w:t>
      </w:r>
      <w:r>
        <w:t xml:space="preserve">Add </w:t>
      </w:r>
      <w:r w:rsidR="00930CB0">
        <w:t>17.5</w:t>
      </w:r>
      <w:r>
        <w:t xml:space="preserve"> </w:t>
      </w:r>
      <w:proofErr w:type="spellStart"/>
      <w:r>
        <w:t>μL</w:t>
      </w:r>
      <w:proofErr w:type="spellEnd"/>
      <w:r>
        <w:t xml:space="preserve"> of SPRI bead mix</w:t>
      </w:r>
      <w:r w:rsidR="006810CF">
        <w:t xml:space="preserve"> per sample (e.g. 3</w:t>
      </w:r>
      <w:r w:rsidR="00930CB0">
        <w:t>5</w:t>
      </w:r>
      <w:r w:rsidR="006810CF">
        <w:t xml:space="preserve"> samples = </w:t>
      </w:r>
      <w:r w:rsidR="00930CB0">
        <w:t>612.5</w:t>
      </w:r>
      <w:r w:rsidR="006810CF">
        <w:t xml:space="preserve"> </w:t>
      </w:r>
      <w:r w:rsidR="006810CF" w:rsidRPr="006810CF">
        <w:rPr>
          <w:rFonts w:ascii="Symbol" w:hAnsi="Symbol"/>
        </w:rPr>
        <w:t></w:t>
      </w:r>
      <w:r w:rsidR="006810CF">
        <w:t>L)</w:t>
      </w:r>
      <w:r>
        <w:t>. Mix very well by pipetting.</w:t>
      </w:r>
    </w:p>
    <w:p w:rsidR="00FA4103" w:rsidRDefault="00163A35">
      <w:pPr>
        <w:spacing w:after="160"/>
        <w:contextualSpacing w:val="0"/>
      </w:pPr>
      <w:r>
        <w:t>1</w:t>
      </w:r>
      <w:r w:rsidR="006810CF">
        <w:t>8</w:t>
      </w:r>
      <w:r>
        <w:t>.</w:t>
      </w:r>
      <w:r>
        <w:rPr>
          <w:rFonts w:ascii="Times New Roman" w:eastAsia="Times New Roman" w:hAnsi="Times New Roman" w:cs="Times New Roman"/>
          <w:sz w:val="14"/>
          <w:szCs w:val="14"/>
        </w:rPr>
        <w:t xml:space="preserve">  </w:t>
      </w:r>
      <w:r>
        <w:t>Incubate the tube for 5 min at room temperature.</w:t>
      </w:r>
    </w:p>
    <w:p w:rsidR="006810CF" w:rsidRDefault="006810CF" w:rsidP="006810CF">
      <w:pPr>
        <w:spacing w:after="160"/>
        <w:contextualSpacing w:val="0"/>
      </w:pPr>
      <w:r>
        <w:t>19.</w:t>
      </w:r>
      <w:r>
        <w:rPr>
          <w:rFonts w:ascii="Times New Roman" w:eastAsia="Times New Roman" w:hAnsi="Times New Roman" w:cs="Times New Roman"/>
          <w:sz w:val="14"/>
          <w:szCs w:val="14"/>
        </w:rPr>
        <w:t xml:space="preserve">  </w:t>
      </w:r>
      <w:r>
        <w:t>Place tubes on the magnet and wait for the beads to separate completely.</w:t>
      </w:r>
    </w:p>
    <w:p w:rsidR="006810CF" w:rsidRDefault="006810CF" w:rsidP="006810CF">
      <w:pPr>
        <w:spacing w:line="240" w:lineRule="auto"/>
      </w:pPr>
      <w:r>
        <w:t xml:space="preserve">20. </w:t>
      </w:r>
      <w:r w:rsidRPr="00344DFF">
        <w:t xml:space="preserve">Without disturbing the pellet, remove and discard all the supernatant. </w:t>
      </w:r>
    </w:p>
    <w:p w:rsidR="006810CF" w:rsidRDefault="006810CF" w:rsidP="006810CF">
      <w:pPr>
        <w:spacing w:line="240" w:lineRule="auto"/>
      </w:pPr>
    </w:p>
    <w:p w:rsidR="006810CF" w:rsidRDefault="006810CF" w:rsidP="006810CF">
      <w:pPr>
        <w:spacing w:line="240" w:lineRule="auto"/>
      </w:pPr>
      <w:r>
        <w:t xml:space="preserve">21. </w:t>
      </w:r>
      <w:r w:rsidRPr="00344DFF">
        <w:t xml:space="preserve">Remove the tube from the magnet and resuspend the pellet in </w:t>
      </w:r>
      <w:r>
        <w:t>102</w:t>
      </w:r>
      <w:r w:rsidRPr="00344DFF">
        <w:t xml:space="preserve"> </w:t>
      </w:r>
      <w:proofErr w:type="spellStart"/>
      <w:r w:rsidRPr="00344DFF">
        <w:t>μL</w:t>
      </w:r>
      <w:proofErr w:type="spellEnd"/>
      <w:r w:rsidRPr="00344DFF">
        <w:t xml:space="preserve"> Re-SPRI Mix</w:t>
      </w:r>
      <w:r w:rsidR="00244C78">
        <w:t xml:space="preserve">. </w:t>
      </w:r>
    </w:p>
    <w:p w:rsidR="006810CF" w:rsidRDefault="006810CF" w:rsidP="006810CF">
      <w:pPr>
        <w:spacing w:line="240" w:lineRule="auto"/>
      </w:pPr>
    </w:p>
    <w:p w:rsidR="006810CF" w:rsidRPr="006810CF" w:rsidRDefault="006810CF" w:rsidP="006810CF">
      <w:pPr>
        <w:rPr>
          <w:b/>
        </w:rPr>
      </w:pPr>
      <w:r w:rsidRPr="006810CF">
        <w:rPr>
          <w:b/>
        </w:rPr>
        <w:t>RE-SPRI mix</w:t>
      </w:r>
    </w:p>
    <w:tbl>
      <w:tblPr>
        <w:tblStyle w:val="TableGrid"/>
        <w:tblW w:w="9360" w:type="dxa"/>
        <w:tblInd w:w="-5" w:type="dxa"/>
        <w:tblLook w:val="04A0" w:firstRow="1" w:lastRow="0" w:firstColumn="1" w:lastColumn="0" w:noHBand="0" w:noVBand="1"/>
      </w:tblPr>
      <w:tblGrid>
        <w:gridCol w:w="3420"/>
        <w:gridCol w:w="2790"/>
        <w:gridCol w:w="1620"/>
        <w:gridCol w:w="1530"/>
      </w:tblGrid>
      <w:tr w:rsidR="00244C78" w:rsidTr="00244C78">
        <w:tc>
          <w:tcPr>
            <w:tcW w:w="3420" w:type="dxa"/>
          </w:tcPr>
          <w:p w:rsidR="006810CF" w:rsidRPr="00BF48B9" w:rsidRDefault="006810CF" w:rsidP="0062161F">
            <w:pPr>
              <w:rPr>
                <w:b/>
              </w:rPr>
            </w:pPr>
            <w:r w:rsidRPr="00BF48B9">
              <w:rPr>
                <w:b/>
              </w:rPr>
              <w:t>REAGENT</w:t>
            </w:r>
          </w:p>
        </w:tc>
        <w:tc>
          <w:tcPr>
            <w:tcW w:w="2790" w:type="dxa"/>
          </w:tcPr>
          <w:p w:rsidR="006810CF" w:rsidRPr="00BF48B9" w:rsidRDefault="006810CF" w:rsidP="0062161F">
            <w:pPr>
              <w:rPr>
                <w:b/>
              </w:rPr>
            </w:pPr>
            <w:r w:rsidRPr="00BF48B9">
              <w:rPr>
                <w:b/>
              </w:rPr>
              <w:t>Cat</w:t>
            </w:r>
          </w:p>
        </w:tc>
        <w:tc>
          <w:tcPr>
            <w:tcW w:w="1620" w:type="dxa"/>
          </w:tcPr>
          <w:p w:rsidR="006810CF" w:rsidRPr="00BF48B9" w:rsidRDefault="00603CCA" w:rsidP="0062161F">
            <w:pPr>
              <w:rPr>
                <w:b/>
              </w:rPr>
            </w:pPr>
            <w:r>
              <w:rPr>
                <w:b/>
              </w:rPr>
              <w:t>Qty</w:t>
            </w:r>
          </w:p>
        </w:tc>
        <w:tc>
          <w:tcPr>
            <w:tcW w:w="1530" w:type="dxa"/>
          </w:tcPr>
          <w:p w:rsidR="006810CF" w:rsidRPr="00603CCA" w:rsidRDefault="00244C78" w:rsidP="0062161F">
            <w:pPr>
              <w:rPr>
                <w:b/>
              </w:rPr>
            </w:pPr>
            <w:r w:rsidRPr="00603CCA">
              <w:rPr>
                <w:b/>
              </w:rPr>
              <w:t xml:space="preserve">MULTI (X   ) </w:t>
            </w:r>
          </w:p>
        </w:tc>
      </w:tr>
      <w:tr w:rsidR="00244C78" w:rsidTr="00244C78">
        <w:tc>
          <w:tcPr>
            <w:tcW w:w="3420" w:type="dxa"/>
          </w:tcPr>
          <w:p w:rsidR="006810CF" w:rsidRDefault="006810CF" w:rsidP="0062161F">
            <w:r>
              <w:t>Molecular-biology grade water</w:t>
            </w:r>
          </w:p>
        </w:tc>
        <w:tc>
          <w:tcPr>
            <w:tcW w:w="2790" w:type="dxa"/>
          </w:tcPr>
          <w:p w:rsidR="006810CF" w:rsidRDefault="006810CF" w:rsidP="0062161F"/>
        </w:tc>
        <w:tc>
          <w:tcPr>
            <w:tcW w:w="1620" w:type="dxa"/>
          </w:tcPr>
          <w:p w:rsidR="006810CF" w:rsidRDefault="006810CF" w:rsidP="0062161F">
            <w:r>
              <w:t>60</w:t>
            </w:r>
            <w:r w:rsidRPr="003C3B0B">
              <w:t xml:space="preserve"> </w:t>
            </w:r>
            <w:proofErr w:type="spellStart"/>
            <w:r w:rsidRPr="003C3B0B">
              <w:t>μL</w:t>
            </w:r>
            <w:proofErr w:type="spellEnd"/>
          </w:p>
        </w:tc>
        <w:tc>
          <w:tcPr>
            <w:tcW w:w="1530" w:type="dxa"/>
          </w:tcPr>
          <w:p w:rsidR="006810CF" w:rsidRDefault="006810CF" w:rsidP="0062161F"/>
        </w:tc>
      </w:tr>
      <w:tr w:rsidR="00244C78" w:rsidTr="00244C78">
        <w:tc>
          <w:tcPr>
            <w:tcW w:w="3420" w:type="dxa"/>
          </w:tcPr>
          <w:p w:rsidR="006810CF" w:rsidRDefault="00244C78" w:rsidP="0062161F">
            <w:proofErr w:type="spellStart"/>
            <w:r>
              <w:t>AmpPure</w:t>
            </w:r>
            <w:proofErr w:type="spellEnd"/>
            <w:r>
              <w:t xml:space="preserve"> XP </w:t>
            </w:r>
            <w:r w:rsidR="006810CF">
              <w:t xml:space="preserve">beads </w:t>
            </w:r>
          </w:p>
        </w:tc>
        <w:tc>
          <w:tcPr>
            <w:tcW w:w="2790" w:type="dxa"/>
          </w:tcPr>
          <w:p w:rsidR="006810CF" w:rsidRDefault="005B24FB" w:rsidP="0062161F">
            <w:hyperlink r:id="rId15" w:history="1">
              <w:r w:rsidR="00244C78" w:rsidRPr="00244C78">
                <w:rPr>
                  <w:rStyle w:val="Hyperlink"/>
                  <w:lang w:val="en-US"/>
                </w:rPr>
                <w:t>Beckman Coulter A63880</w:t>
              </w:r>
            </w:hyperlink>
          </w:p>
        </w:tc>
        <w:tc>
          <w:tcPr>
            <w:tcW w:w="1620" w:type="dxa"/>
          </w:tcPr>
          <w:p w:rsidR="006810CF" w:rsidRDefault="006810CF" w:rsidP="0062161F">
            <w:r>
              <w:t xml:space="preserve">42 </w:t>
            </w:r>
            <w:r w:rsidR="00603CCA" w:rsidRPr="00603CCA">
              <w:t>µ</w:t>
            </w:r>
            <w:r>
              <w:t xml:space="preserve">l </w:t>
            </w:r>
          </w:p>
        </w:tc>
        <w:tc>
          <w:tcPr>
            <w:tcW w:w="1530" w:type="dxa"/>
          </w:tcPr>
          <w:p w:rsidR="006810CF" w:rsidRDefault="006810CF" w:rsidP="0062161F"/>
        </w:tc>
      </w:tr>
      <w:tr w:rsidR="00244C78" w:rsidTr="00244C78">
        <w:tc>
          <w:tcPr>
            <w:tcW w:w="3420" w:type="dxa"/>
          </w:tcPr>
          <w:p w:rsidR="006810CF" w:rsidRDefault="006810CF" w:rsidP="0062161F"/>
        </w:tc>
        <w:tc>
          <w:tcPr>
            <w:tcW w:w="2790" w:type="dxa"/>
          </w:tcPr>
          <w:p w:rsidR="006810CF" w:rsidRDefault="006810CF" w:rsidP="0062161F">
            <w:r w:rsidRPr="003C3B0B">
              <w:rPr>
                <w:b/>
              </w:rPr>
              <w:t>FINAL Volume</w:t>
            </w:r>
          </w:p>
        </w:tc>
        <w:tc>
          <w:tcPr>
            <w:tcW w:w="1620" w:type="dxa"/>
          </w:tcPr>
          <w:p w:rsidR="006810CF" w:rsidRDefault="006810CF" w:rsidP="0062161F">
            <w:r>
              <w:t xml:space="preserve">102 </w:t>
            </w:r>
            <w:r w:rsidR="00603CCA">
              <w:t>µ</w:t>
            </w:r>
            <w:r>
              <w:t xml:space="preserve">l </w:t>
            </w:r>
          </w:p>
        </w:tc>
        <w:tc>
          <w:tcPr>
            <w:tcW w:w="1530" w:type="dxa"/>
          </w:tcPr>
          <w:p w:rsidR="006810CF" w:rsidRDefault="006810CF" w:rsidP="0062161F"/>
        </w:tc>
      </w:tr>
    </w:tbl>
    <w:p w:rsidR="00244C78" w:rsidRDefault="00244C78">
      <w:pPr>
        <w:spacing w:after="160"/>
        <w:contextualSpacing w:val="0"/>
        <w:rPr>
          <w:lang w:val="en-US"/>
        </w:rPr>
      </w:pPr>
    </w:p>
    <w:p w:rsidR="00244C78" w:rsidRDefault="00244C78">
      <w:pPr>
        <w:spacing w:after="160"/>
        <w:contextualSpacing w:val="0"/>
      </w:pPr>
      <w:r>
        <w:rPr>
          <w:lang w:val="en-US"/>
        </w:rPr>
        <w:t xml:space="preserve">22. </w:t>
      </w:r>
      <w:r w:rsidRPr="00244C78">
        <w:rPr>
          <w:lang w:val="en-US"/>
        </w:rPr>
        <w:t>Incubate the tube 5 min at room temperature.</w:t>
      </w:r>
    </w:p>
    <w:p w:rsidR="00FA4103" w:rsidRDefault="00244C78">
      <w:pPr>
        <w:spacing w:after="160"/>
        <w:contextualSpacing w:val="0"/>
      </w:pPr>
      <w:r>
        <w:lastRenderedPageBreak/>
        <w:t>23</w:t>
      </w:r>
      <w:r w:rsidR="00163A35">
        <w:t>.</w:t>
      </w:r>
      <w:r w:rsidR="00163A35">
        <w:rPr>
          <w:rFonts w:ascii="Times New Roman" w:eastAsia="Times New Roman" w:hAnsi="Times New Roman" w:cs="Times New Roman"/>
          <w:sz w:val="14"/>
          <w:szCs w:val="14"/>
        </w:rPr>
        <w:t xml:space="preserve">  </w:t>
      </w:r>
      <w:r w:rsidR="00163A35">
        <w:t>Place tube on the magnet and wait for the beads to separate completely.</w:t>
      </w:r>
    </w:p>
    <w:p w:rsidR="00FA4103" w:rsidRDefault="006810CF">
      <w:pPr>
        <w:spacing w:after="160"/>
        <w:contextualSpacing w:val="0"/>
      </w:pPr>
      <w:r>
        <w:t>2</w:t>
      </w:r>
      <w:r w:rsidR="00244C78">
        <w:t>4</w:t>
      </w:r>
      <w:r w:rsidR="00163A35">
        <w:t>.</w:t>
      </w:r>
      <w:r w:rsidR="00163A35">
        <w:rPr>
          <w:rFonts w:ascii="Times New Roman" w:eastAsia="Times New Roman" w:hAnsi="Times New Roman" w:cs="Times New Roman"/>
          <w:sz w:val="14"/>
          <w:szCs w:val="14"/>
        </w:rPr>
        <w:t xml:space="preserve">  </w:t>
      </w:r>
      <w:r w:rsidR="00163A35">
        <w:t xml:space="preserve">Without disturbing the pellet, remove and discard all the supernatant. </w:t>
      </w:r>
    </w:p>
    <w:p w:rsidR="00FA4103" w:rsidRDefault="00163A35">
      <w:pPr>
        <w:spacing w:after="160"/>
        <w:contextualSpacing w:val="0"/>
      </w:pPr>
      <w:r>
        <w:t>2</w:t>
      </w:r>
      <w:r w:rsidR="00244C78">
        <w:t>5</w:t>
      </w:r>
      <w:r>
        <w:t>.</w:t>
      </w:r>
      <w:r>
        <w:rPr>
          <w:rFonts w:ascii="Times New Roman" w:eastAsia="Times New Roman" w:hAnsi="Times New Roman" w:cs="Times New Roman"/>
          <w:sz w:val="14"/>
          <w:szCs w:val="14"/>
        </w:rPr>
        <w:t xml:space="preserve">  </w:t>
      </w:r>
      <w:r>
        <w:t xml:space="preserve">Still on the magnet, overlay the pellet with </w:t>
      </w:r>
      <w:r w:rsidR="006810CF">
        <w:t>1 ml</w:t>
      </w:r>
      <w:r>
        <w:t xml:space="preserve"> freshly prepared 80% ethanol and wait 30 s</w:t>
      </w:r>
      <w:r w:rsidR="00094410">
        <w:t>econds</w:t>
      </w:r>
      <w:r>
        <w:t>.</w:t>
      </w:r>
    </w:p>
    <w:p w:rsidR="00FA4103" w:rsidRDefault="00163A35">
      <w:pPr>
        <w:spacing w:after="160"/>
        <w:contextualSpacing w:val="0"/>
      </w:pPr>
      <w:r>
        <w:t>2</w:t>
      </w:r>
      <w:r w:rsidR="00244C78">
        <w:t>6</w:t>
      </w:r>
      <w:r>
        <w:t>.</w:t>
      </w:r>
      <w:r>
        <w:rPr>
          <w:rFonts w:ascii="Times New Roman" w:eastAsia="Times New Roman" w:hAnsi="Times New Roman" w:cs="Times New Roman"/>
          <w:sz w:val="14"/>
          <w:szCs w:val="14"/>
        </w:rPr>
        <w:t xml:space="preserve">  </w:t>
      </w:r>
      <w:r>
        <w:t xml:space="preserve">Remove and discard the supernatant, then repeat the wash (step </w:t>
      </w:r>
      <w:r w:rsidR="00244C78">
        <w:t>24</w:t>
      </w:r>
      <w:r>
        <w:t>).</w:t>
      </w:r>
    </w:p>
    <w:p w:rsidR="00FA4103" w:rsidRDefault="00163A35">
      <w:pPr>
        <w:spacing w:after="160"/>
        <w:contextualSpacing w:val="0"/>
      </w:pPr>
      <w:r>
        <w:t>2</w:t>
      </w:r>
      <w:r w:rsidR="00244C78">
        <w:t>7</w:t>
      </w:r>
      <w:r>
        <w:t>.</w:t>
      </w:r>
      <w:r>
        <w:rPr>
          <w:rFonts w:ascii="Times New Roman" w:eastAsia="Times New Roman" w:hAnsi="Times New Roman" w:cs="Times New Roman"/>
          <w:sz w:val="14"/>
          <w:szCs w:val="14"/>
        </w:rPr>
        <w:t xml:space="preserve">  </w:t>
      </w:r>
      <w:r>
        <w:t>Remove and discard all the remaining supernatant. Use a smaller pipet to collect residual droplets.</w:t>
      </w:r>
    </w:p>
    <w:p w:rsidR="00FA4103" w:rsidRDefault="00163A35">
      <w:pPr>
        <w:spacing w:after="160"/>
        <w:contextualSpacing w:val="0"/>
      </w:pPr>
      <w:r>
        <w:t>2</w:t>
      </w:r>
      <w:r w:rsidR="00244C78">
        <w:t>8</w:t>
      </w:r>
      <w:r>
        <w:t>.</w:t>
      </w:r>
      <w:r>
        <w:rPr>
          <w:rFonts w:ascii="Times New Roman" w:eastAsia="Times New Roman" w:hAnsi="Times New Roman" w:cs="Times New Roman"/>
          <w:sz w:val="14"/>
          <w:szCs w:val="14"/>
        </w:rPr>
        <w:t xml:space="preserve">  </w:t>
      </w:r>
      <w:r>
        <w:t>Leave the tube open to air-dry for exactly 2 min. Do not over-dry the pellet or it will be difficult to resuspend.</w:t>
      </w:r>
    </w:p>
    <w:p w:rsidR="00FA4103" w:rsidRDefault="00163A35">
      <w:pPr>
        <w:spacing w:after="160"/>
        <w:contextualSpacing w:val="0"/>
      </w:pPr>
      <w:r>
        <w:t>2</w:t>
      </w:r>
      <w:r w:rsidR="00244C78">
        <w:t>9</w:t>
      </w:r>
      <w:r>
        <w:t>.</w:t>
      </w:r>
      <w:r>
        <w:rPr>
          <w:rFonts w:ascii="Times New Roman" w:eastAsia="Times New Roman" w:hAnsi="Times New Roman" w:cs="Times New Roman"/>
          <w:sz w:val="14"/>
          <w:szCs w:val="14"/>
        </w:rPr>
        <w:t xml:space="preserve">  </w:t>
      </w:r>
      <w:r>
        <w:t xml:space="preserve">Remove the tube from the magnet, thoroughly resuspend the pellet in 10 </w:t>
      </w:r>
      <w:proofErr w:type="spellStart"/>
      <w:r>
        <w:t>μL</w:t>
      </w:r>
      <w:proofErr w:type="spellEnd"/>
      <w:r>
        <w:t xml:space="preserve"> DNA Storage Buffer (briefly centrifuge the tube if necessary to collect the pellet) and wait 30</w:t>
      </w:r>
      <w:r w:rsidR="00094410">
        <w:t xml:space="preserve"> </w:t>
      </w:r>
      <w:r>
        <w:t>s</w:t>
      </w:r>
      <w:r w:rsidR="00094410">
        <w:t>econds</w:t>
      </w:r>
      <w:r>
        <w:t>.</w:t>
      </w:r>
    </w:p>
    <w:p w:rsidR="00094410" w:rsidRDefault="00094410">
      <w:pPr>
        <w:contextualSpacing w:val="0"/>
        <w:rPr>
          <w:b/>
        </w:rPr>
      </w:pPr>
    </w:p>
    <w:p w:rsidR="00FA4103" w:rsidRDefault="00163A35">
      <w:pPr>
        <w:contextualSpacing w:val="0"/>
        <w:rPr>
          <w:b/>
        </w:rPr>
      </w:pPr>
      <w:r>
        <w:rPr>
          <w:b/>
        </w:rPr>
        <w:t>DNA storage buffer</w:t>
      </w:r>
    </w:p>
    <w:tbl>
      <w:tblPr>
        <w:tblStyle w:val="a4"/>
        <w:tblW w:w="73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05"/>
        <w:gridCol w:w="1860"/>
        <w:gridCol w:w="1815"/>
      </w:tblGrid>
      <w:tr w:rsidR="0036792E" w:rsidTr="0036792E">
        <w:trPr>
          <w:jc w:val="center"/>
        </w:trPr>
        <w:tc>
          <w:tcPr>
            <w:tcW w:w="37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792E" w:rsidRDefault="0036792E">
            <w:pPr>
              <w:contextualSpacing w:val="0"/>
              <w:jc w:val="center"/>
              <w:rPr>
                <w:b/>
              </w:rPr>
            </w:pPr>
            <w:r>
              <w:rPr>
                <w:b/>
              </w:rPr>
              <w:t>REAGENT</w:t>
            </w:r>
          </w:p>
        </w:tc>
        <w:tc>
          <w:tcPr>
            <w:tcW w:w="18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792E" w:rsidRDefault="0036792E">
            <w:pPr>
              <w:contextualSpacing w:val="0"/>
              <w:jc w:val="center"/>
              <w:rPr>
                <w:b/>
              </w:rPr>
            </w:pPr>
            <w:r>
              <w:rPr>
                <w:b/>
              </w:rPr>
              <w:t>Cat</w:t>
            </w:r>
          </w:p>
        </w:tc>
        <w:tc>
          <w:tcPr>
            <w:tcW w:w="18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792E" w:rsidRDefault="0036792E">
            <w:pPr>
              <w:contextualSpacing w:val="0"/>
              <w:jc w:val="center"/>
              <w:rPr>
                <w:b/>
              </w:rPr>
            </w:pPr>
            <w:r>
              <w:rPr>
                <w:b/>
              </w:rPr>
              <w:t>Qty</w:t>
            </w:r>
          </w:p>
        </w:tc>
      </w:tr>
      <w:tr w:rsidR="0036792E" w:rsidTr="0036792E">
        <w:trPr>
          <w:trHeight w:val="155"/>
          <w:jc w:val="center"/>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792E" w:rsidRDefault="0036792E">
            <w:pPr>
              <w:contextualSpacing w:val="0"/>
            </w:pPr>
            <w:r>
              <w:t>Molecular-biology grade water</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36792E" w:rsidRDefault="0036792E">
            <w:pPr>
              <w:ind w:left="540"/>
              <w:contextualSpacing w:val="0"/>
            </w:pPr>
            <w:r>
              <w:t xml:space="preserve"> </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36792E" w:rsidRDefault="0036792E">
            <w:pPr>
              <w:ind w:left="540"/>
              <w:contextualSpacing w:val="0"/>
            </w:pPr>
            <w:r>
              <w:t>48.564 mL</w:t>
            </w:r>
          </w:p>
        </w:tc>
      </w:tr>
      <w:tr w:rsidR="0036792E" w:rsidTr="0036792E">
        <w:trPr>
          <w:jc w:val="center"/>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792E" w:rsidRDefault="0036792E">
            <w:pPr>
              <w:contextualSpacing w:val="0"/>
            </w:pPr>
            <w:r>
              <w:t>Tris base (1 M)</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36792E" w:rsidRDefault="0036792E">
            <w:pPr>
              <w:ind w:left="540"/>
              <w:contextualSpacing w:val="0"/>
            </w:pPr>
            <w:r>
              <w:t xml:space="preserve"> </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36792E" w:rsidRDefault="0036792E">
            <w:pPr>
              <w:ind w:left="540"/>
              <w:contextualSpacing w:val="0"/>
            </w:pPr>
            <w:r>
              <w:t>500 µl</w:t>
            </w:r>
          </w:p>
        </w:tc>
      </w:tr>
      <w:tr w:rsidR="0036792E" w:rsidTr="0036792E">
        <w:trPr>
          <w:jc w:val="center"/>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792E" w:rsidRDefault="0036792E">
            <w:pPr>
              <w:contextualSpacing w:val="0"/>
            </w:pPr>
            <w:r>
              <w:t>disodium EDTA, 0.1 M</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36792E" w:rsidRDefault="0036792E">
            <w:pPr>
              <w:ind w:left="540"/>
              <w:contextualSpacing w:val="0"/>
            </w:pPr>
            <w:r>
              <w:t xml:space="preserve"> </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36792E" w:rsidRDefault="0036792E">
            <w:pPr>
              <w:ind w:left="540"/>
              <w:contextualSpacing w:val="0"/>
            </w:pPr>
            <w:r>
              <w:t>500 µl</w:t>
            </w:r>
          </w:p>
        </w:tc>
      </w:tr>
      <w:tr w:rsidR="0036792E" w:rsidTr="0036792E">
        <w:trPr>
          <w:jc w:val="center"/>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792E" w:rsidRDefault="0036792E">
            <w:pPr>
              <w:contextualSpacing w:val="0"/>
            </w:pPr>
            <w:r>
              <w:t>Tween 20, 10% (v/v)</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36792E" w:rsidRDefault="0036792E">
            <w:pPr>
              <w:ind w:left="540"/>
              <w:contextualSpacing w:val="0"/>
            </w:pPr>
            <w:r>
              <w:t xml:space="preserve"> </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36792E" w:rsidRDefault="0036792E">
            <w:pPr>
              <w:ind w:left="540"/>
              <w:contextualSpacing w:val="0"/>
            </w:pPr>
            <w:r>
              <w:t xml:space="preserve">250 µl </w:t>
            </w:r>
          </w:p>
        </w:tc>
      </w:tr>
      <w:tr w:rsidR="0036792E" w:rsidTr="0036792E">
        <w:trPr>
          <w:jc w:val="center"/>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792E" w:rsidRDefault="0036792E">
            <w:pPr>
              <w:contextualSpacing w:val="0"/>
            </w:pPr>
            <w:proofErr w:type="spellStart"/>
            <w:r>
              <w:t>HCl</w:t>
            </w:r>
            <w:proofErr w:type="spellEnd"/>
            <w:r>
              <w:t>, (1 M)</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36792E" w:rsidRDefault="0036792E">
            <w:pPr>
              <w:ind w:left="540"/>
              <w:contextualSpacing w:val="0"/>
            </w:pPr>
            <w:r>
              <w:t xml:space="preserve"> </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36792E" w:rsidRDefault="0036792E">
            <w:pPr>
              <w:ind w:left="540"/>
              <w:contextualSpacing w:val="0"/>
            </w:pPr>
            <w:r>
              <w:t xml:space="preserve">186 µl </w:t>
            </w:r>
          </w:p>
        </w:tc>
      </w:tr>
      <w:tr w:rsidR="0036792E" w:rsidTr="0036792E">
        <w:trPr>
          <w:jc w:val="center"/>
        </w:trPr>
        <w:tc>
          <w:tcPr>
            <w:tcW w:w="37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792E" w:rsidRDefault="0036792E">
            <w:pPr>
              <w:ind w:left="540"/>
              <w:contextualSpacing w:val="0"/>
            </w:pPr>
            <w: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36792E" w:rsidRDefault="0036792E">
            <w:pPr>
              <w:contextualSpacing w:val="0"/>
              <w:rPr>
                <w:b/>
              </w:rPr>
            </w:pPr>
            <w:r>
              <w:rPr>
                <w:b/>
              </w:rPr>
              <w:t>FINAL Volume</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rsidR="0036792E" w:rsidRDefault="0036792E">
            <w:pPr>
              <w:ind w:left="540"/>
              <w:contextualSpacing w:val="0"/>
            </w:pPr>
            <w:r>
              <w:t>50 ml</w:t>
            </w:r>
          </w:p>
        </w:tc>
      </w:tr>
    </w:tbl>
    <w:p w:rsidR="00FA4103" w:rsidRDefault="00163A35">
      <w:pPr>
        <w:contextualSpacing w:val="0"/>
      </w:pPr>
      <w:r>
        <w:t xml:space="preserve"> </w:t>
      </w:r>
    </w:p>
    <w:p w:rsidR="00FA4103" w:rsidRDefault="00163A35">
      <w:pPr>
        <w:spacing w:after="160"/>
        <w:contextualSpacing w:val="0"/>
      </w:pPr>
      <w:r>
        <w:t>2</w:t>
      </w:r>
      <w:r w:rsidR="002601F3">
        <w:t>5</w:t>
      </w:r>
      <w:r>
        <w:t>.</w:t>
      </w:r>
      <w:r>
        <w:rPr>
          <w:rFonts w:ascii="Times New Roman" w:eastAsia="Times New Roman" w:hAnsi="Times New Roman" w:cs="Times New Roman"/>
          <w:sz w:val="14"/>
          <w:szCs w:val="14"/>
        </w:rPr>
        <w:t xml:space="preserve">  </w:t>
      </w:r>
      <w:r>
        <w:t>Return the tube to the magnet and allow the beads to separate completely.</w:t>
      </w:r>
    </w:p>
    <w:p w:rsidR="00FA4103" w:rsidRDefault="002601F3">
      <w:pPr>
        <w:spacing w:after="160"/>
        <w:contextualSpacing w:val="0"/>
      </w:pPr>
      <w:r>
        <w:t>26</w:t>
      </w:r>
      <w:r w:rsidR="00163A35">
        <w:t>.</w:t>
      </w:r>
      <w:r w:rsidR="00163A35">
        <w:rPr>
          <w:rFonts w:ascii="Times New Roman" w:eastAsia="Times New Roman" w:hAnsi="Times New Roman" w:cs="Times New Roman"/>
          <w:sz w:val="14"/>
          <w:szCs w:val="14"/>
        </w:rPr>
        <w:t xml:space="preserve">  </w:t>
      </w:r>
      <w:r w:rsidR="00163A35">
        <w:t xml:space="preserve">Transfer the supernatant to a new tube. </w:t>
      </w:r>
    </w:p>
    <w:p w:rsidR="00FA4103" w:rsidRDefault="002601F3">
      <w:pPr>
        <w:spacing w:after="160"/>
        <w:contextualSpacing w:val="0"/>
      </w:pPr>
      <w:r>
        <w:t>27</w:t>
      </w:r>
      <w:r w:rsidR="00163A35">
        <w:t>.</w:t>
      </w:r>
      <w:r w:rsidR="00163A35">
        <w:rPr>
          <w:rFonts w:ascii="Times New Roman" w:eastAsia="Times New Roman" w:hAnsi="Times New Roman" w:cs="Times New Roman"/>
          <w:sz w:val="14"/>
          <w:szCs w:val="14"/>
        </w:rPr>
        <w:t xml:space="preserve">  </w:t>
      </w:r>
      <w:r w:rsidR="00163A35">
        <w:t xml:space="preserve">Quantify by </w:t>
      </w:r>
      <w:proofErr w:type="spellStart"/>
      <w:r w:rsidR="00163A35">
        <w:t>Fluorometer</w:t>
      </w:r>
      <w:proofErr w:type="spellEnd"/>
      <w:r w:rsidR="00163A35">
        <w:t xml:space="preserve"> (Qbit) and/or </w:t>
      </w:r>
      <w:proofErr w:type="spellStart"/>
      <w:r w:rsidR="00163A35">
        <w:t>Bioanalyzer</w:t>
      </w:r>
      <w:proofErr w:type="spellEnd"/>
      <w:r w:rsidR="00163A35">
        <w:t>/</w:t>
      </w:r>
      <w:proofErr w:type="spellStart"/>
      <w:r w:rsidR="00163A35">
        <w:t>Tapestation</w:t>
      </w:r>
      <w:proofErr w:type="spellEnd"/>
      <w:r w:rsidR="00163A35">
        <w:t xml:space="preserve"> </w:t>
      </w:r>
    </w:p>
    <w:p w:rsidR="00FA4103" w:rsidRDefault="002601F3">
      <w:pPr>
        <w:spacing w:after="160"/>
        <w:contextualSpacing w:val="0"/>
      </w:pPr>
      <w:r>
        <w:t>28</w:t>
      </w:r>
      <w:r w:rsidR="00163A35">
        <w:t>.</w:t>
      </w:r>
      <w:r w:rsidR="00163A35">
        <w:rPr>
          <w:rFonts w:ascii="Times New Roman" w:eastAsia="Times New Roman" w:hAnsi="Times New Roman" w:cs="Times New Roman"/>
          <w:sz w:val="14"/>
          <w:szCs w:val="14"/>
        </w:rPr>
        <w:t xml:space="preserve">  </w:t>
      </w:r>
      <w:r w:rsidR="00163A35">
        <w:t xml:space="preserve">This is your </w:t>
      </w:r>
      <w:r w:rsidR="00244C78">
        <w:t>pooled library ready for</w:t>
      </w:r>
      <w:r w:rsidR="005969F0">
        <w:t xml:space="preserve"> sequencing</w:t>
      </w:r>
      <w:r w:rsidR="00163A35">
        <w:t>.</w:t>
      </w:r>
    </w:p>
    <w:p w:rsidR="00FA4103" w:rsidRDefault="00163A35">
      <w:pPr>
        <w:contextualSpacing w:val="0"/>
      </w:pPr>
      <w:r>
        <w:t xml:space="preserve"> </w:t>
      </w:r>
    </w:p>
    <w:p w:rsidR="0086690F" w:rsidRDefault="0086690F">
      <w:pPr>
        <w:rPr>
          <w:b/>
        </w:rPr>
      </w:pPr>
      <w:r>
        <w:rPr>
          <w:b/>
        </w:rPr>
        <w:br w:type="page"/>
      </w:r>
    </w:p>
    <w:p w:rsidR="00FA4103" w:rsidRDefault="00163A35">
      <w:pPr>
        <w:contextualSpacing w:val="0"/>
        <w:jc w:val="both"/>
        <w:rPr>
          <w:b/>
        </w:rPr>
      </w:pPr>
      <w:r>
        <w:rPr>
          <w:b/>
        </w:rPr>
        <w:lastRenderedPageBreak/>
        <w:t>NOTE</w:t>
      </w:r>
      <w:r w:rsidR="0086690F">
        <w:rPr>
          <w:b/>
        </w:rPr>
        <w:t xml:space="preserve"> 1: </w:t>
      </w:r>
      <w:r w:rsidR="004D2B65">
        <w:rPr>
          <w:b/>
        </w:rPr>
        <w:t>Library Qua</w:t>
      </w:r>
      <w:r w:rsidR="00190D92">
        <w:rPr>
          <w:b/>
        </w:rPr>
        <w:t>n</w:t>
      </w:r>
      <w:r w:rsidR="004D2B65">
        <w:rPr>
          <w:b/>
        </w:rPr>
        <w:t>tifi</w:t>
      </w:r>
      <w:r w:rsidR="00190D92">
        <w:rPr>
          <w:b/>
        </w:rPr>
        <w:t>c</w:t>
      </w:r>
      <w:r w:rsidR="004D2B65">
        <w:rPr>
          <w:b/>
        </w:rPr>
        <w:t>ation</w:t>
      </w:r>
    </w:p>
    <w:p w:rsidR="00FA4103" w:rsidRDefault="00FA4103">
      <w:pPr>
        <w:contextualSpacing w:val="0"/>
        <w:jc w:val="both"/>
        <w:rPr>
          <w:b/>
        </w:rPr>
      </w:pPr>
    </w:p>
    <w:p w:rsidR="00FA4103" w:rsidRDefault="00163A35" w:rsidP="00CE17DC">
      <w:pPr>
        <w:pBdr>
          <w:bottom w:val="single" w:sz="4" w:space="1" w:color="auto"/>
        </w:pBdr>
        <w:contextualSpacing w:val="0"/>
        <w:jc w:val="both"/>
      </w:pPr>
      <w:r>
        <w:t xml:space="preserve">The final yield should be 10 </w:t>
      </w:r>
      <w:proofErr w:type="spellStart"/>
      <w:r>
        <w:t>μL</w:t>
      </w:r>
      <w:proofErr w:type="spellEnd"/>
      <w:r>
        <w:t xml:space="preserve"> of amplified library at 5 to 50 </w:t>
      </w:r>
      <w:proofErr w:type="spellStart"/>
      <w:r>
        <w:t>nM</w:t>
      </w:r>
      <w:proofErr w:type="spellEnd"/>
      <w:r>
        <w:t xml:space="preserve">, with most of the fragments between 200 and 600 </w:t>
      </w:r>
      <w:proofErr w:type="spellStart"/>
      <w:r>
        <w:t>bp.</w:t>
      </w:r>
      <w:proofErr w:type="spellEnd"/>
      <w:r>
        <w:t xml:space="preserve"> The size distribution can be verified by running the library undiluted on an Agilent Bioanalyzer 2100 DNA High Sensitivity chip or equivalent, which will also give a rough reading of the concentration. The electropherogram may show evidence of overamplification: a secondary bump or especially wide smear of molecules that migrate more slowly than the rest, because they comprise complementary annealed adapters and </w:t>
      </w:r>
      <w:proofErr w:type="spellStart"/>
      <w:r>
        <w:t>noncomplementary</w:t>
      </w:r>
      <w:proofErr w:type="spellEnd"/>
      <w:r>
        <w:t xml:space="preserve">, </w:t>
      </w:r>
      <w:proofErr w:type="spellStart"/>
      <w:r>
        <w:t>unannealable</w:t>
      </w:r>
      <w:proofErr w:type="spellEnd"/>
      <w:r>
        <w:t xml:space="preserve"> inserts. These libraries can still be sequenced, but the Bioanalyzer will report inaccurate molarities, and it is ideal to recalibrate the PCR cycles to the maximum number that does not produce this artifact. A small bump at about 85 bp is a normal byproduct of the TS-RT reaction and should not affect sequencing; a spike at about 160 bp indicates adapter dimers that will reduce the number of usable sequence reads, which are caused by too many PCR cycles.</w:t>
      </w:r>
    </w:p>
    <w:p w:rsidR="00CE17DC" w:rsidRDefault="00CE17DC" w:rsidP="00CE17DC">
      <w:pPr>
        <w:pBdr>
          <w:bottom w:val="single" w:sz="4" w:space="1" w:color="auto"/>
        </w:pBdr>
        <w:contextualSpacing w:val="0"/>
        <w:jc w:val="both"/>
      </w:pPr>
    </w:p>
    <w:p w:rsidR="00190D92" w:rsidRPr="00193F42" w:rsidRDefault="00163A35">
      <w:pPr>
        <w:contextualSpacing w:val="0"/>
      </w:pPr>
      <w:r>
        <w:t xml:space="preserve"> </w:t>
      </w:r>
    </w:p>
    <w:p w:rsidR="00FA4103" w:rsidRDefault="00163A35">
      <w:pPr>
        <w:contextualSpacing w:val="0"/>
        <w:rPr>
          <w:b/>
        </w:rPr>
      </w:pPr>
      <w:r>
        <w:rPr>
          <w:b/>
        </w:rPr>
        <w:t xml:space="preserve">NOTE </w:t>
      </w:r>
      <w:r w:rsidR="00193F42">
        <w:rPr>
          <w:b/>
        </w:rPr>
        <w:t>2</w:t>
      </w:r>
      <w:r>
        <w:rPr>
          <w:b/>
        </w:rPr>
        <w:t xml:space="preserve">: </w:t>
      </w:r>
      <w:r w:rsidR="0086690F">
        <w:rPr>
          <w:b/>
        </w:rPr>
        <w:t xml:space="preserve">Primers for </w:t>
      </w:r>
      <w:r>
        <w:rPr>
          <w:b/>
        </w:rPr>
        <w:t>Template-switching reverse transcription</w:t>
      </w:r>
    </w:p>
    <w:p w:rsidR="00FA4103" w:rsidRDefault="00163A35">
      <w:pPr>
        <w:contextualSpacing w:val="0"/>
      </w:pPr>
      <w:r>
        <w:t xml:space="preserve"> </w:t>
      </w:r>
    </w:p>
    <w:p w:rsidR="00FA4103" w:rsidRDefault="00163A35">
      <w:pPr>
        <w:contextualSpacing w:val="0"/>
      </w:pPr>
      <w:r>
        <w:t>Use RNase-free HPLC purification for all. This reduces the complexity of the random bases, but that is less important than the purity of full-length molecules. The 2S primer may need to be ordered as an “RNA oligo” (</w:t>
      </w:r>
      <w:proofErr w:type="spellStart"/>
      <w:r>
        <w:t>e.g.IDT</w:t>
      </w:r>
      <w:proofErr w:type="spellEnd"/>
      <w:r>
        <w:t xml:space="preserve"> requires this) since it contains some ribonucleotides.</w:t>
      </w:r>
    </w:p>
    <w:p w:rsidR="00FA4103" w:rsidRDefault="00163A35">
      <w:pPr>
        <w:contextualSpacing w:val="0"/>
      </w:pPr>
      <w:r>
        <w:t xml:space="preserve"> </w:t>
      </w:r>
    </w:p>
    <w:p w:rsidR="00FA4103" w:rsidRDefault="00163A35">
      <w:pPr>
        <w:contextualSpacing w:val="0"/>
        <w:rPr>
          <w:b/>
        </w:rPr>
      </w:pPr>
      <w:r>
        <w:rPr>
          <w:b/>
        </w:rPr>
        <w:t xml:space="preserve">First strand (1S) primer: </w:t>
      </w:r>
    </w:p>
    <w:p w:rsidR="00FA4103" w:rsidRDefault="00163A35">
      <w:pPr>
        <w:contextualSpacing w:val="0"/>
      </w:pPr>
      <w:r>
        <w:t xml:space="preserve">/5Biosg/GT GAC TGG AGT TCA GAC GTG TGC TCT TCC GAT CTT TTT </w:t>
      </w:r>
      <w:proofErr w:type="spellStart"/>
      <w:r>
        <w:t>TTT</w:t>
      </w:r>
      <w:proofErr w:type="spellEnd"/>
      <w:r>
        <w:t xml:space="preserve"> </w:t>
      </w:r>
      <w:proofErr w:type="spellStart"/>
      <w:r>
        <w:t>TTT</w:t>
      </w:r>
      <w:proofErr w:type="spellEnd"/>
      <w:r>
        <w:t xml:space="preserve"> </w:t>
      </w:r>
      <w:proofErr w:type="spellStart"/>
      <w:r>
        <w:t>TTT</w:t>
      </w:r>
      <w:proofErr w:type="spellEnd"/>
      <w:r>
        <w:t xml:space="preserve"> </w:t>
      </w:r>
      <w:proofErr w:type="spellStart"/>
      <w:r>
        <w:t>TTT</w:t>
      </w:r>
      <w:proofErr w:type="spellEnd"/>
      <w:r>
        <w:t xml:space="preserve"> </w:t>
      </w:r>
      <w:proofErr w:type="spellStart"/>
      <w:r>
        <w:t>TTT</w:t>
      </w:r>
      <w:proofErr w:type="spellEnd"/>
      <w:r>
        <w:t xml:space="preserve"> </w:t>
      </w:r>
      <w:proofErr w:type="spellStart"/>
      <w:r>
        <w:t>TTT</w:t>
      </w:r>
      <w:proofErr w:type="spellEnd"/>
      <w:r>
        <w:t xml:space="preserve"> </w:t>
      </w:r>
      <w:proofErr w:type="spellStart"/>
      <w:r>
        <w:t>TTT</w:t>
      </w:r>
      <w:proofErr w:type="spellEnd"/>
      <w:r>
        <w:t xml:space="preserve"> </w:t>
      </w:r>
      <w:proofErr w:type="spellStart"/>
      <w:r>
        <w:t>TTT</w:t>
      </w:r>
      <w:proofErr w:type="spellEnd"/>
      <w:r>
        <w:t xml:space="preserve"> TV</w:t>
      </w:r>
    </w:p>
    <w:p w:rsidR="00FA4103" w:rsidRDefault="00163A35">
      <w:pPr>
        <w:contextualSpacing w:val="0"/>
      </w:pPr>
      <w:r>
        <w:t xml:space="preserve"> </w:t>
      </w:r>
    </w:p>
    <w:p w:rsidR="00FA4103" w:rsidRDefault="00163A35">
      <w:pPr>
        <w:contextualSpacing w:val="0"/>
        <w:rPr>
          <w:b/>
        </w:rPr>
      </w:pPr>
      <w:r>
        <w:rPr>
          <w:b/>
        </w:rPr>
        <w:t xml:space="preserve">Second strand (2S) primer: </w:t>
      </w:r>
    </w:p>
    <w:p w:rsidR="00FA4103" w:rsidRDefault="00163A35">
      <w:pPr>
        <w:contextualSpacing w:val="0"/>
      </w:pPr>
      <w:r>
        <w:t xml:space="preserve">/5Biosg/CT ACA CGA CGC TCT TCC GAT CTN NNN </w:t>
      </w:r>
      <w:proofErr w:type="spellStart"/>
      <w:r>
        <w:t>NrGrG</w:t>
      </w:r>
      <w:proofErr w:type="spellEnd"/>
      <w:r>
        <w:t xml:space="preserve"> </w:t>
      </w:r>
      <w:proofErr w:type="spellStart"/>
      <w:r>
        <w:t>rG</w:t>
      </w:r>
      <w:proofErr w:type="spellEnd"/>
    </w:p>
    <w:p w:rsidR="00FA4103" w:rsidRDefault="00163A35">
      <w:pPr>
        <w:contextualSpacing w:val="0"/>
      </w:pPr>
      <w:r>
        <w:t xml:space="preserve"> </w:t>
      </w:r>
    </w:p>
    <w:p w:rsidR="00FA4103" w:rsidRDefault="00163A35">
      <w:pPr>
        <w:contextualSpacing w:val="0"/>
        <w:rPr>
          <w:b/>
        </w:rPr>
      </w:pPr>
      <w:r>
        <w:rPr>
          <w:b/>
        </w:rPr>
        <w:t>Abbreviations (IDT codes)</w:t>
      </w:r>
    </w:p>
    <w:p w:rsidR="00FA4103" w:rsidRDefault="00FA4103">
      <w:pPr>
        <w:contextualSpacing w:val="0"/>
        <w:rPr>
          <w:b/>
        </w:rPr>
      </w:pPr>
    </w:p>
    <w:p w:rsidR="00FA4103" w:rsidRDefault="00163A35">
      <w:pPr>
        <w:contextualSpacing w:val="0"/>
      </w:pPr>
      <w:r>
        <w:t>/5Biosg/: 5′ biotin</w:t>
      </w:r>
    </w:p>
    <w:p w:rsidR="00FA4103" w:rsidRDefault="00163A35">
      <w:pPr>
        <w:contextualSpacing w:val="0"/>
      </w:pPr>
      <w:r>
        <w:t>V: equimolar mix of A, C, G</w:t>
      </w:r>
    </w:p>
    <w:p w:rsidR="00FA4103" w:rsidRDefault="00163A35">
      <w:pPr>
        <w:contextualSpacing w:val="0"/>
      </w:pPr>
      <w:r>
        <w:t>N: equimolar mix of A, C, G, T</w:t>
      </w:r>
    </w:p>
    <w:p w:rsidR="00FA4103" w:rsidRDefault="00163A35">
      <w:pPr>
        <w:contextualSpacing w:val="0"/>
      </w:pPr>
      <w:proofErr w:type="spellStart"/>
      <w:r>
        <w:t>rG</w:t>
      </w:r>
      <w:proofErr w:type="spellEnd"/>
      <w:r>
        <w:t xml:space="preserve">: </w:t>
      </w:r>
      <w:proofErr w:type="spellStart"/>
      <w:r>
        <w:t>riboguanosine</w:t>
      </w:r>
      <w:proofErr w:type="spellEnd"/>
      <w:r>
        <w:t xml:space="preserve"> (all other nucleosides are deoxy)</w:t>
      </w:r>
    </w:p>
    <w:p w:rsidR="00FA4103" w:rsidRDefault="00163A35">
      <w:pPr>
        <w:contextualSpacing w:val="0"/>
      </w:pPr>
      <w:r>
        <w:t xml:space="preserve">*: </w:t>
      </w:r>
      <w:proofErr w:type="spellStart"/>
      <w:r>
        <w:t>phosphorothioate</w:t>
      </w:r>
      <w:proofErr w:type="spellEnd"/>
      <w:r>
        <w:t xml:space="preserve"> backbone</w:t>
      </w:r>
    </w:p>
    <w:p w:rsidR="00CE17DC" w:rsidRDefault="00CE17DC" w:rsidP="00CE17DC">
      <w:pPr>
        <w:pBdr>
          <w:bottom w:val="single" w:sz="4" w:space="1" w:color="auto"/>
        </w:pBdr>
        <w:contextualSpacing w:val="0"/>
      </w:pPr>
    </w:p>
    <w:p w:rsidR="00FA4103" w:rsidRDefault="00FA4103">
      <w:pPr>
        <w:contextualSpacing w:val="0"/>
        <w:rPr>
          <w:sz w:val="24"/>
          <w:szCs w:val="24"/>
        </w:rPr>
      </w:pPr>
    </w:p>
    <w:p w:rsidR="00FA4103" w:rsidRPr="0036792E" w:rsidRDefault="00163A35">
      <w:pPr>
        <w:contextualSpacing w:val="0"/>
        <w:rPr>
          <w:sz w:val="15"/>
          <w:szCs w:val="16"/>
        </w:rPr>
      </w:pPr>
      <w:r w:rsidRPr="0036792E">
        <w:rPr>
          <w:b/>
          <w:szCs w:val="24"/>
        </w:rPr>
        <w:t xml:space="preserve">NOTE </w:t>
      </w:r>
      <w:r w:rsidR="00193F42" w:rsidRPr="0036792E">
        <w:rPr>
          <w:b/>
          <w:szCs w:val="24"/>
        </w:rPr>
        <w:t>3</w:t>
      </w:r>
      <w:r w:rsidRPr="0036792E">
        <w:rPr>
          <w:b/>
          <w:szCs w:val="24"/>
        </w:rPr>
        <w:t>: PCR primers</w:t>
      </w:r>
      <w:r w:rsidR="00CE17DC" w:rsidRPr="0036792E">
        <w:rPr>
          <w:b/>
          <w:szCs w:val="24"/>
        </w:rPr>
        <w:t xml:space="preserve"> for single-indexing</w:t>
      </w:r>
    </w:p>
    <w:p w:rsidR="00FA4103" w:rsidRPr="0036792E" w:rsidRDefault="00163A35">
      <w:pPr>
        <w:contextualSpacing w:val="0"/>
        <w:rPr>
          <w:b/>
          <w:szCs w:val="24"/>
        </w:rPr>
      </w:pPr>
      <w:r w:rsidRPr="0036792E">
        <w:rPr>
          <w:b/>
          <w:szCs w:val="24"/>
        </w:rPr>
        <w:t xml:space="preserve"> </w:t>
      </w:r>
    </w:p>
    <w:p w:rsidR="00FA4103" w:rsidRPr="0036792E" w:rsidRDefault="00163A35">
      <w:pPr>
        <w:contextualSpacing w:val="0"/>
        <w:rPr>
          <w:szCs w:val="24"/>
        </w:rPr>
      </w:pPr>
      <w:r w:rsidRPr="0036792E">
        <w:rPr>
          <w:szCs w:val="24"/>
        </w:rPr>
        <w:t xml:space="preserve">These primers add a single i7 index (6 nt) to each library. Use HPLC purification for all. Up to 47 libraries may be combined in one pool for sequencing (46 with Illumina’s two-color chemistry on the </w:t>
      </w:r>
      <w:proofErr w:type="spellStart"/>
      <w:r w:rsidRPr="0036792E">
        <w:rPr>
          <w:szCs w:val="24"/>
        </w:rPr>
        <w:t>NextSeq</w:t>
      </w:r>
      <w:proofErr w:type="spellEnd"/>
      <w:r w:rsidRPr="0036792E">
        <w:rPr>
          <w:szCs w:val="24"/>
        </w:rPr>
        <w:t xml:space="preserve">, </w:t>
      </w:r>
      <w:proofErr w:type="spellStart"/>
      <w:r w:rsidRPr="0036792E">
        <w:rPr>
          <w:szCs w:val="24"/>
        </w:rPr>
        <w:t>MiniSeq</w:t>
      </w:r>
      <w:proofErr w:type="spellEnd"/>
      <w:r w:rsidRPr="0036792E">
        <w:rPr>
          <w:szCs w:val="24"/>
        </w:rPr>
        <w:t xml:space="preserve">, and </w:t>
      </w:r>
      <w:proofErr w:type="spellStart"/>
      <w:r w:rsidRPr="0036792E">
        <w:rPr>
          <w:szCs w:val="24"/>
        </w:rPr>
        <w:t>NovaSeq</w:t>
      </w:r>
      <w:proofErr w:type="spellEnd"/>
      <w:r w:rsidRPr="0036792E">
        <w:rPr>
          <w:szCs w:val="24"/>
        </w:rPr>
        <w:t xml:space="preserve">). See e.g. Bio Scientific's </w:t>
      </w:r>
      <w:proofErr w:type="spellStart"/>
      <w:r w:rsidRPr="0036792E">
        <w:rPr>
          <w:szCs w:val="24"/>
        </w:rPr>
        <w:t>NEXTflex</w:t>
      </w:r>
      <w:proofErr w:type="spellEnd"/>
      <w:r w:rsidRPr="0036792E">
        <w:rPr>
          <w:szCs w:val="24"/>
        </w:rPr>
        <w:t xml:space="preserve">™ DNA Barcodes for alternative index schemes with higher </w:t>
      </w:r>
      <w:proofErr w:type="spellStart"/>
      <w:r w:rsidRPr="0036792E">
        <w:rPr>
          <w:szCs w:val="24"/>
        </w:rPr>
        <w:t>plexity</w:t>
      </w:r>
      <w:proofErr w:type="spellEnd"/>
      <w:r w:rsidRPr="0036792E">
        <w:rPr>
          <w:szCs w:val="24"/>
        </w:rPr>
        <w:t>; designing your own index sequences is inadvisable as they require empirical validation.</w:t>
      </w:r>
    </w:p>
    <w:p w:rsidR="00FA4103" w:rsidRPr="0036792E" w:rsidRDefault="00163A35">
      <w:pPr>
        <w:contextualSpacing w:val="0"/>
        <w:rPr>
          <w:szCs w:val="24"/>
        </w:rPr>
      </w:pPr>
      <w:r w:rsidRPr="0036792E">
        <w:rPr>
          <w:szCs w:val="24"/>
        </w:rPr>
        <w:lastRenderedPageBreak/>
        <w:t xml:space="preserve"> </w:t>
      </w:r>
    </w:p>
    <w:p w:rsidR="00FA4103" w:rsidRPr="0036792E" w:rsidRDefault="00163A35">
      <w:pPr>
        <w:contextualSpacing w:val="0"/>
        <w:rPr>
          <w:szCs w:val="24"/>
        </w:rPr>
      </w:pPr>
      <w:r w:rsidRPr="0036792E">
        <w:rPr>
          <w:szCs w:val="24"/>
        </w:rPr>
        <w:t xml:space="preserve">P5 universal: AAT GAT ACG GCG ACC </w:t>
      </w:r>
      <w:proofErr w:type="spellStart"/>
      <w:r w:rsidRPr="0036792E">
        <w:rPr>
          <w:szCs w:val="24"/>
        </w:rPr>
        <w:t>ACC</w:t>
      </w:r>
      <w:proofErr w:type="spellEnd"/>
      <w:r w:rsidRPr="0036792E">
        <w:rPr>
          <w:szCs w:val="24"/>
        </w:rPr>
        <w:t xml:space="preserve"> GAG ATC TAC ACT CTT TCC CTA CAC GAC GCT</w:t>
      </w:r>
      <w:r w:rsidR="00CE17DC" w:rsidRPr="0036792E">
        <w:rPr>
          <w:szCs w:val="24"/>
        </w:rPr>
        <w:t xml:space="preserve"> </w:t>
      </w:r>
      <w:r w:rsidRPr="0036792E">
        <w:rPr>
          <w:szCs w:val="24"/>
        </w:rPr>
        <w:t>CTT CCG AT*C* T</w:t>
      </w:r>
    </w:p>
    <w:p w:rsidR="00FA4103" w:rsidRPr="0036792E" w:rsidRDefault="00163A35">
      <w:pPr>
        <w:contextualSpacing w:val="0"/>
        <w:rPr>
          <w:szCs w:val="24"/>
        </w:rPr>
      </w:pPr>
      <w:r w:rsidRPr="0036792E">
        <w:rPr>
          <w:szCs w:val="24"/>
        </w:rPr>
        <w:t>P7 indexed: CAA GCA GAA GAC GGC ATA CGA GAT [i7] GTG ACT GGA GTT CAG ACG TGT</w:t>
      </w:r>
      <w:r w:rsidR="00CE17DC" w:rsidRPr="0036792E">
        <w:rPr>
          <w:szCs w:val="24"/>
        </w:rPr>
        <w:t xml:space="preserve"> </w:t>
      </w:r>
      <w:r w:rsidRPr="0036792E">
        <w:rPr>
          <w:szCs w:val="24"/>
        </w:rPr>
        <w:t>GCT CTT CCG AT*C* T</w:t>
      </w:r>
    </w:p>
    <w:p w:rsidR="00FA4103" w:rsidRPr="0036792E" w:rsidRDefault="00163A35">
      <w:pPr>
        <w:contextualSpacing w:val="0"/>
        <w:rPr>
          <w:szCs w:val="24"/>
        </w:rPr>
      </w:pPr>
      <w:r w:rsidRPr="0036792E">
        <w:rPr>
          <w:szCs w:val="24"/>
        </w:rPr>
        <w:t xml:space="preserve"> </w:t>
      </w:r>
    </w:p>
    <w:p w:rsidR="00FA4103" w:rsidRPr="0036792E" w:rsidRDefault="00163A35">
      <w:pPr>
        <w:contextualSpacing w:val="0"/>
        <w:rPr>
          <w:szCs w:val="24"/>
        </w:rPr>
      </w:pPr>
      <w:r w:rsidRPr="0036792E">
        <w:rPr>
          <w:szCs w:val="24"/>
        </w:rPr>
        <w:t>where [i7] is one of the following index sequences:</w:t>
      </w:r>
    </w:p>
    <w:tbl>
      <w:tblPr>
        <w:tblStyle w:val="a5"/>
        <w:tblW w:w="91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05"/>
        <w:gridCol w:w="1305"/>
        <w:gridCol w:w="885"/>
        <w:gridCol w:w="1305"/>
        <w:gridCol w:w="1035"/>
        <w:gridCol w:w="1305"/>
        <w:gridCol w:w="1035"/>
        <w:gridCol w:w="1305"/>
      </w:tblGrid>
      <w:tr w:rsidR="00FA4103" w:rsidTr="00CE17DC">
        <w:trPr>
          <w:trHeight w:val="20"/>
        </w:trPr>
        <w:tc>
          <w:tcPr>
            <w:tcW w:w="1005" w:type="dxa"/>
            <w:shd w:val="clear" w:color="auto" w:fill="auto"/>
            <w:tcMar>
              <w:top w:w="100" w:type="dxa"/>
              <w:left w:w="100" w:type="dxa"/>
              <w:bottom w:w="100" w:type="dxa"/>
              <w:right w:w="100" w:type="dxa"/>
            </w:tcMar>
            <w:vAlign w:val="bottom"/>
          </w:tcPr>
          <w:p w:rsidR="00FA4103" w:rsidRPr="006A12A6" w:rsidRDefault="00163A35">
            <w:pPr>
              <w:widowControl w:val="0"/>
              <w:pBdr>
                <w:top w:val="nil"/>
                <w:left w:val="nil"/>
                <w:bottom w:val="nil"/>
                <w:right w:val="nil"/>
                <w:between w:val="nil"/>
              </w:pBdr>
              <w:contextualSpacing w:val="0"/>
              <w:rPr>
                <w:b/>
                <w:sz w:val="18"/>
                <w:szCs w:val="18"/>
              </w:rPr>
            </w:pPr>
            <w:r w:rsidRPr="006A12A6">
              <w:rPr>
                <w:b/>
                <w:sz w:val="18"/>
                <w:szCs w:val="18"/>
              </w:rPr>
              <w:t>INDEX</w:t>
            </w:r>
          </w:p>
        </w:tc>
        <w:tc>
          <w:tcPr>
            <w:tcW w:w="1305" w:type="dxa"/>
            <w:shd w:val="clear" w:color="auto" w:fill="auto"/>
            <w:tcMar>
              <w:top w:w="100" w:type="dxa"/>
              <w:left w:w="100" w:type="dxa"/>
              <w:bottom w:w="100" w:type="dxa"/>
              <w:right w:w="100" w:type="dxa"/>
            </w:tcMar>
            <w:vAlign w:val="bottom"/>
          </w:tcPr>
          <w:p w:rsidR="00FA4103" w:rsidRPr="006A12A6" w:rsidRDefault="00163A35">
            <w:pPr>
              <w:widowControl w:val="0"/>
              <w:pBdr>
                <w:top w:val="nil"/>
                <w:left w:val="nil"/>
                <w:bottom w:val="nil"/>
                <w:right w:val="nil"/>
                <w:between w:val="nil"/>
              </w:pBdr>
              <w:contextualSpacing w:val="0"/>
              <w:rPr>
                <w:b/>
                <w:sz w:val="18"/>
                <w:szCs w:val="18"/>
              </w:rPr>
            </w:pPr>
            <w:r w:rsidRPr="006A12A6">
              <w:rPr>
                <w:b/>
                <w:sz w:val="18"/>
                <w:szCs w:val="18"/>
              </w:rPr>
              <w:t>SEQUEN</w:t>
            </w:r>
            <w:r w:rsidR="006A12A6" w:rsidRPr="006A12A6">
              <w:rPr>
                <w:b/>
                <w:sz w:val="18"/>
                <w:szCs w:val="18"/>
              </w:rPr>
              <w:t>C</w:t>
            </w:r>
            <w:r w:rsidRPr="006A12A6">
              <w:rPr>
                <w:b/>
                <w:sz w:val="18"/>
                <w:szCs w:val="18"/>
              </w:rPr>
              <w:t>E</w:t>
            </w:r>
          </w:p>
        </w:tc>
        <w:tc>
          <w:tcPr>
            <w:tcW w:w="885" w:type="dxa"/>
            <w:shd w:val="clear" w:color="auto" w:fill="auto"/>
            <w:tcMar>
              <w:top w:w="100" w:type="dxa"/>
              <w:left w:w="100" w:type="dxa"/>
              <w:bottom w:w="100" w:type="dxa"/>
              <w:right w:w="100" w:type="dxa"/>
            </w:tcMar>
            <w:vAlign w:val="bottom"/>
          </w:tcPr>
          <w:p w:rsidR="00FA4103" w:rsidRPr="006A12A6" w:rsidRDefault="00163A35">
            <w:pPr>
              <w:widowControl w:val="0"/>
              <w:pBdr>
                <w:top w:val="nil"/>
                <w:left w:val="nil"/>
                <w:bottom w:val="nil"/>
                <w:right w:val="nil"/>
                <w:between w:val="nil"/>
              </w:pBdr>
              <w:contextualSpacing w:val="0"/>
              <w:rPr>
                <w:b/>
                <w:sz w:val="18"/>
                <w:szCs w:val="18"/>
              </w:rPr>
            </w:pPr>
            <w:r w:rsidRPr="006A12A6">
              <w:rPr>
                <w:b/>
                <w:sz w:val="18"/>
                <w:szCs w:val="18"/>
              </w:rPr>
              <w:t>INDEX</w:t>
            </w:r>
          </w:p>
        </w:tc>
        <w:tc>
          <w:tcPr>
            <w:tcW w:w="1305" w:type="dxa"/>
            <w:shd w:val="clear" w:color="auto" w:fill="auto"/>
            <w:tcMar>
              <w:top w:w="100" w:type="dxa"/>
              <w:left w:w="100" w:type="dxa"/>
              <w:bottom w:w="100" w:type="dxa"/>
              <w:right w:w="100" w:type="dxa"/>
            </w:tcMar>
            <w:vAlign w:val="bottom"/>
          </w:tcPr>
          <w:p w:rsidR="00FA4103" w:rsidRPr="006A12A6" w:rsidRDefault="00163A35">
            <w:pPr>
              <w:widowControl w:val="0"/>
              <w:pBdr>
                <w:top w:val="nil"/>
                <w:left w:val="nil"/>
                <w:bottom w:val="nil"/>
                <w:right w:val="nil"/>
                <w:between w:val="nil"/>
              </w:pBdr>
              <w:contextualSpacing w:val="0"/>
              <w:rPr>
                <w:b/>
                <w:sz w:val="18"/>
                <w:szCs w:val="18"/>
              </w:rPr>
            </w:pPr>
            <w:r w:rsidRPr="006A12A6">
              <w:rPr>
                <w:b/>
                <w:sz w:val="18"/>
                <w:szCs w:val="18"/>
              </w:rPr>
              <w:t>SEQUENCE</w:t>
            </w:r>
          </w:p>
        </w:tc>
        <w:tc>
          <w:tcPr>
            <w:tcW w:w="1035" w:type="dxa"/>
            <w:shd w:val="clear" w:color="auto" w:fill="auto"/>
            <w:tcMar>
              <w:top w:w="100" w:type="dxa"/>
              <w:left w:w="100" w:type="dxa"/>
              <w:bottom w:w="100" w:type="dxa"/>
              <w:right w:w="100" w:type="dxa"/>
            </w:tcMar>
            <w:vAlign w:val="bottom"/>
          </w:tcPr>
          <w:p w:rsidR="00FA4103" w:rsidRPr="006A12A6" w:rsidRDefault="00163A35">
            <w:pPr>
              <w:widowControl w:val="0"/>
              <w:pBdr>
                <w:top w:val="nil"/>
                <w:left w:val="nil"/>
                <w:bottom w:val="nil"/>
                <w:right w:val="nil"/>
                <w:between w:val="nil"/>
              </w:pBdr>
              <w:contextualSpacing w:val="0"/>
              <w:rPr>
                <w:b/>
                <w:sz w:val="18"/>
                <w:szCs w:val="18"/>
              </w:rPr>
            </w:pPr>
            <w:r w:rsidRPr="006A12A6">
              <w:rPr>
                <w:b/>
                <w:sz w:val="18"/>
                <w:szCs w:val="18"/>
              </w:rPr>
              <w:t>INDEX</w:t>
            </w:r>
          </w:p>
        </w:tc>
        <w:tc>
          <w:tcPr>
            <w:tcW w:w="1305" w:type="dxa"/>
            <w:shd w:val="clear" w:color="auto" w:fill="auto"/>
            <w:tcMar>
              <w:top w:w="100" w:type="dxa"/>
              <w:left w:w="100" w:type="dxa"/>
              <w:bottom w:w="100" w:type="dxa"/>
              <w:right w:w="100" w:type="dxa"/>
            </w:tcMar>
            <w:vAlign w:val="bottom"/>
          </w:tcPr>
          <w:p w:rsidR="00FA4103" w:rsidRPr="006A12A6" w:rsidRDefault="00163A35">
            <w:pPr>
              <w:widowControl w:val="0"/>
              <w:pBdr>
                <w:top w:val="nil"/>
                <w:left w:val="nil"/>
                <w:bottom w:val="nil"/>
                <w:right w:val="nil"/>
                <w:between w:val="nil"/>
              </w:pBdr>
              <w:contextualSpacing w:val="0"/>
              <w:rPr>
                <w:b/>
                <w:sz w:val="18"/>
                <w:szCs w:val="18"/>
              </w:rPr>
            </w:pPr>
            <w:r w:rsidRPr="006A12A6">
              <w:rPr>
                <w:b/>
                <w:sz w:val="18"/>
                <w:szCs w:val="18"/>
              </w:rPr>
              <w:t>SEQUENCE</w:t>
            </w:r>
          </w:p>
        </w:tc>
        <w:tc>
          <w:tcPr>
            <w:tcW w:w="1035" w:type="dxa"/>
            <w:shd w:val="clear" w:color="auto" w:fill="auto"/>
            <w:tcMar>
              <w:top w:w="100" w:type="dxa"/>
              <w:left w:w="100" w:type="dxa"/>
              <w:bottom w:w="100" w:type="dxa"/>
              <w:right w:w="100" w:type="dxa"/>
            </w:tcMar>
            <w:vAlign w:val="bottom"/>
          </w:tcPr>
          <w:p w:rsidR="00FA4103" w:rsidRPr="006A12A6" w:rsidRDefault="00163A35">
            <w:pPr>
              <w:widowControl w:val="0"/>
              <w:pBdr>
                <w:top w:val="nil"/>
                <w:left w:val="nil"/>
                <w:bottom w:val="nil"/>
                <w:right w:val="nil"/>
                <w:between w:val="nil"/>
              </w:pBdr>
              <w:contextualSpacing w:val="0"/>
              <w:rPr>
                <w:b/>
                <w:sz w:val="18"/>
                <w:szCs w:val="18"/>
              </w:rPr>
            </w:pPr>
            <w:r w:rsidRPr="006A12A6">
              <w:rPr>
                <w:b/>
                <w:sz w:val="18"/>
                <w:szCs w:val="18"/>
              </w:rPr>
              <w:t>INDEX</w:t>
            </w:r>
          </w:p>
        </w:tc>
        <w:tc>
          <w:tcPr>
            <w:tcW w:w="1305" w:type="dxa"/>
            <w:shd w:val="clear" w:color="auto" w:fill="auto"/>
            <w:tcMar>
              <w:top w:w="100" w:type="dxa"/>
              <w:left w:w="100" w:type="dxa"/>
              <w:bottom w:w="100" w:type="dxa"/>
              <w:right w:w="100" w:type="dxa"/>
            </w:tcMar>
            <w:vAlign w:val="bottom"/>
          </w:tcPr>
          <w:p w:rsidR="00FA4103" w:rsidRPr="006A12A6" w:rsidRDefault="00163A35">
            <w:pPr>
              <w:widowControl w:val="0"/>
              <w:pBdr>
                <w:top w:val="nil"/>
                <w:left w:val="nil"/>
                <w:bottom w:val="nil"/>
                <w:right w:val="nil"/>
                <w:between w:val="nil"/>
              </w:pBdr>
              <w:contextualSpacing w:val="0"/>
              <w:rPr>
                <w:b/>
                <w:sz w:val="18"/>
                <w:szCs w:val="18"/>
              </w:rPr>
            </w:pPr>
            <w:r w:rsidRPr="006A12A6">
              <w:rPr>
                <w:b/>
                <w:sz w:val="18"/>
                <w:szCs w:val="18"/>
              </w:rPr>
              <w:t>SEQUENCE</w:t>
            </w:r>
          </w:p>
        </w:tc>
      </w:tr>
      <w:tr w:rsidR="00FA4103" w:rsidTr="00CE17DC">
        <w:trPr>
          <w:trHeight w:val="20"/>
        </w:trPr>
        <w:tc>
          <w:tcPr>
            <w:tcW w:w="100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001</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CGTGAT</w:t>
            </w:r>
          </w:p>
        </w:tc>
        <w:tc>
          <w:tcPr>
            <w:tcW w:w="88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013</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TTGACT</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025</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ATCAGT</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037</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ATTCCG</w:t>
            </w:r>
          </w:p>
        </w:tc>
      </w:tr>
      <w:tr w:rsidR="00FA4103" w:rsidTr="00CE17DC">
        <w:trPr>
          <w:trHeight w:val="20"/>
        </w:trPr>
        <w:tc>
          <w:tcPr>
            <w:tcW w:w="100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002</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ACATCG</w:t>
            </w:r>
          </w:p>
        </w:tc>
        <w:tc>
          <w:tcPr>
            <w:tcW w:w="88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014</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GGAACT</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026</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GCTCAT</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038</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AGCTAG</w:t>
            </w:r>
          </w:p>
        </w:tc>
      </w:tr>
      <w:tr w:rsidR="00FA4103" w:rsidTr="00CE17DC">
        <w:trPr>
          <w:trHeight w:val="20"/>
        </w:trPr>
        <w:tc>
          <w:tcPr>
            <w:tcW w:w="100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003</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GCCTAA</w:t>
            </w:r>
          </w:p>
        </w:tc>
        <w:tc>
          <w:tcPr>
            <w:tcW w:w="88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015</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TGACAT</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027</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AGGAAT</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039</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GTATAG</w:t>
            </w:r>
          </w:p>
        </w:tc>
      </w:tr>
      <w:tr w:rsidR="00FA4103" w:rsidTr="00CE17DC">
        <w:trPr>
          <w:trHeight w:val="20"/>
        </w:trPr>
        <w:tc>
          <w:tcPr>
            <w:tcW w:w="100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004</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TGGTCA</w:t>
            </w:r>
          </w:p>
        </w:tc>
        <w:tc>
          <w:tcPr>
            <w:tcW w:w="88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016</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GGACGG</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028</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CTTTTG</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040</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TCTGAG</w:t>
            </w:r>
          </w:p>
        </w:tc>
      </w:tr>
      <w:tr w:rsidR="00FA4103" w:rsidTr="00CE17DC">
        <w:trPr>
          <w:trHeight w:val="20"/>
        </w:trPr>
        <w:tc>
          <w:tcPr>
            <w:tcW w:w="100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005</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CACTGT</w:t>
            </w:r>
          </w:p>
        </w:tc>
        <w:tc>
          <w:tcPr>
            <w:tcW w:w="88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017</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CTCTAC</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029</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TAGTTG</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041</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GTCGTC</w:t>
            </w:r>
          </w:p>
        </w:tc>
      </w:tr>
      <w:tr w:rsidR="00FA4103" w:rsidTr="00CE17DC">
        <w:trPr>
          <w:trHeight w:val="20"/>
        </w:trPr>
        <w:tc>
          <w:tcPr>
            <w:tcW w:w="100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006</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ATTGGC</w:t>
            </w:r>
          </w:p>
        </w:tc>
        <w:tc>
          <w:tcPr>
            <w:tcW w:w="88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018</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GCGGAC</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030</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CCGGTG</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042</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CGATTA</w:t>
            </w:r>
          </w:p>
        </w:tc>
      </w:tr>
      <w:tr w:rsidR="00FA4103" w:rsidTr="00CE17DC">
        <w:trPr>
          <w:trHeight w:val="20"/>
        </w:trPr>
        <w:tc>
          <w:tcPr>
            <w:tcW w:w="100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007</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GATCTG</w:t>
            </w:r>
          </w:p>
        </w:tc>
        <w:tc>
          <w:tcPr>
            <w:tcW w:w="88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019</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TTTCAC</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031</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ATCGTG</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043</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GCTGTA</w:t>
            </w:r>
          </w:p>
        </w:tc>
      </w:tr>
      <w:tr w:rsidR="00FA4103" w:rsidTr="00CE17DC">
        <w:trPr>
          <w:trHeight w:val="20"/>
        </w:trPr>
        <w:tc>
          <w:tcPr>
            <w:tcW w:w="100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008</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TCAAGT</w:t>
            </w:r>
          </w:p>
        </w:tc>
        <w:tc>
          <w:tcPr>
            <w:tcW w:w="88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020</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GGCCAC</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032</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TGAGTG</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044</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ATTATA</w:t>
            </w:r>
          </w:p>
        </w:tc>
      </w:tr>
      <w:tr w:rsidR="00FA4103" w:rsidTr="00CE17DC">
        <w:trPr>
          <w:trHeight w:val="20"/>
        </w:trPr>
        <w:tc>
          <w:tcPr>
            <w:tcW w:w="100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009</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CTGATC</w:t>
            </w:r>
          </w:p>
        </w:tc>
        <w:tc>
          <w:tcPr>
            <w:tcW w:w="88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021</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CGAAAC</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033</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CGCCTG</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045</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GAATGA</w:t>
            </w:r>
          </w:p>
        </w:tc>
      </w:tr>
      <w:tr w:rsidR="00FA4103" w:rsidTr="00CE17DC">
        <w:trPr>
          <w:trHeight w:val="20"/>
        </w:trPr>
        <w:tc>
          <w:tcPr>
            <w:tcW w:w="100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010</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AAGCTA</w:t>
            </w:r>
          </w:p>
        </w:tc>
        <w:tc>
          <w:tcPr>
            <w:tcW w:w="88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022</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CGTACG</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034</w:t>
            </w:r>
          </w:p>
        </w:tc>
        <w:tc>
          <w:tcPr>
            <w:tcW w:w="1305" w:type="dxa"/>
            <w:shd w:val="clear" w:color="auto" w:fill="auto"/>
            <w:tcMar>
              <w:top w:w="100" w:type="dxa"/>
              <w:left w:w="100" w:type="dxa"/>
              <w:bottom w:w="100" w:type="dxa"/>
              <w:right w:w="100" w:type="dxa"/>
            </w:tcMar>
            <w:vAlign w:val="bottom"/>
          </w:tcPr>
          <w:p w:rsidR="00FA4103" w:rsidRPr="006A12A6" w:rsidRDefault="0036792E">
            <w:pPr>
              <w:contextualSpacing w:val="0"/>
              <w:rPr>
                <w:sz w:val="20"/>
                <w:szCs w:val="20"/>
              </w:rPr>
            </w:pPr>
            <w:r w:rsidRPr="0036792E">
              <w:rPr>
                <w:sz w:val="20"/>
                <w:szCs w:val="20"/>
              </w:rPr>
              <w:t>GCCATG</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046</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TCGGGA</w:t>
            </w:r>
          </w:p>
        </w:tc>
      </w:tr>
      <w:tr w:rsidR="00FA4103" w:rsidTr="00CE17DC">
        <w:trPr>
          <w:trHeight w:val="20"/>
        </w:trPr>
        <w:tc>
          <w:tcPr>
            <w:tcW w:w="100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011</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GTAGCC</w:t>
            </w:r>
          </w:p>
        </w:tc>
        <w:tc>
          <w:tcPr>
            <w:tcW w:w="88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023</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CCACTC</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035</w:t>
            </w:r>
          </w:p>
        </w:tc>
        <w:tc>
          <w:tcPr>
            <w:tcW w:w="1305" w:type="dxa"/>
            <w:shd w:val="clear" w:color="auto" w:fill="auto"/>
            <w:tcMar>
              <w:top w:w="100" w:type="dxa"/>
              <w:left w:w="100" w:type="dxa"/>
              <w:bottom w:w="100" w:type="dxa"/>
              <w:right w:w="100" w:type="dxa"/>
            </w:tcMar>
            <w:vAlign w:val="bottom"/>
          </w:tcPr>
          <w:p w:rsidR="00FA4103" w:rsidRPr="006A12A6" w:rsidRDefault="0036792E">
            <w:pPr>
              <w:contextualSpacing w:val="0"/>
              <w:rPr>
                <w:sz w:val="20"/>
                <w:szCs w:val="20"/>
              </w:rPr>
            </w:pPr>
            <w:r w:rsidRPr="0036792E">
              <w:rPr>
                <w:sz w:val="20"/>
                <w:szCs w:val="20"/>
              </w:rPr>
              <w:t>AAAATG</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047</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CTTCGA</w:t>
            </w:r>
          </w:p>
        </w:tc>
      </w:tr>
      <w:tr w:rsidR="00FA4103" w:rsidTr="00CE17DC">
        <w:trPr>
          <w:trHeight w:val="20"/>
        </w:trPr>
        <w:tc>
          <w:tcPr>
            <w:tcW w:w="100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012</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TACAAG</w:t>
            </w:r>
          </w:p>
        </w:tc>
        <w:tc>
          <w:tcPr>
            <w:tcW w:w="88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024</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GCTACC</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036</w:t>
            </w:r>
          </w:p>
        </w:tc>
        <w:tc>
          <w:tcPr>
            <w:tcW w:w="1305" w:type="dxa"/>
            <w:shd w:val="clear" w:color="auto" w:fill="auto"/>
            <w:tcMar>
              <w:top w:w="100" w:type="dxa"/>
              <w:left w:w="100" w:type="dxa"/>
              <w:bottom w:w="100" w:type="dxa"/>
              <w:right w:w="100" w:type="dxa"/>
            </w:tcMar>
            <w:vAlign w:val="bottom"/>
          </w:tcPr>
          <w:p w:rsidR="00FA4103" w:rsidRPr="006A12A6" w:rsidRDefault="0036792E">
            <w:pPr>
              <w:contextualSpacing w:val="0"/>
              <w:rPr>
                <w:sz w:val="20"/>
                <w:szCs w:val="20"/>
              </w:rPr>
            </w:pPr>
            <w:r w:rsidRPr="0036792E">
              <w:rPr>
                <w:sz w:val="20"/>
                <w:szCs w:val="20"/>
              </w:rPr>
              <w:t>TGTTGG</w:t>
            </w:r>
          </w:p>
        </w:tc>
        <w:tc>
          <w:tcPr>
            <w:tcW w:w="1035" w:type="dxa"/>
            <w:shd w:val="clear" w:color="auto" w:fill="auto"/>
            <w:tcMar>
              <w:top w:w="100" w:type="dxa"/>
              <w:left w:w="100" w:type="dxa"/>
              <w:bottom w:w="100" w:type="dxa"/>
              <w:right w:w="100" w:type="dxa"/>
            </w:tcMar>
            <w:vAlign w:val="bottom"/>
          </w:tcPr>
          <w:p w:rsidR="00FA4103" w:rsidRPr="006A12A6" w:rsidRDefault="00163A35">
            <w:pPr>
              <w:contextualSpacing w:val="0"/>
              <w:jc w:val="right"/>
              <w:rPr>
                <w:b/>
                <w:sz w:val="20"/>
                <w:szCs w:val="20"/>
              </w:rPr>
            </w:pPr>
            <w:r w:rsidRPr="006A12A6">
              <w:rPr>
                <w:b/>
                <w:sz w:val="20"/>
                <w:szCs w:val="20"/>
              </w:rPr>
              <w:t>048</w:t>
            </w:r>
          </w:p>
        </w:tc>
        <w:tc>
          <w:tcPr>
            <w:tcW w:w="1305" w:type="dxa"/>
            <w:shd w:val="clear" w:color="auto" w:fill="auto"/>
            <w:tcMar>
              <w:top w:w="100" w:type="dxa"/>
              <w:left w:w="100" w:type="dxa"/>
              <w:bottom w:w="100" w:type="dxa"/>
              <w:right w:w="100" w:type="dxa"/>
            </w:tcMar>
            <w:vAlign w:val="bottom"/>
          </w:tcPr>
          <w:p w:rsidR="00FA4103" w:rsidRPr="006A12A6" w:rsidRDefault="00163A35">
            <w:pPr>
              <w:contextualSpacing w:val="0"/>
              <w:rPr>
                <w:sz w:val="20"/>
                <w:szCs w:val="20"/>
              </w:rPr>
            </w:pPr>
            <w:r w:rsidRPr="006A12A6">
              <w:rPr>
                <w:sz w:val="20"/>
                <w:szCs w:val="20"/>
              </w:rPr>
              <w:t>TGCCGA</w:t>
            </w:r>
          </w:p>
        </w:tc>
      </w:tr>
    </w:tbl>
    <w:p w:rsidR="00FA4103" w:rsidRDefault="00163A35">
      <w:pPr>
        <w:contextualSpacing w:val="0"/>
        <w:rPr>
          <w:sz w:val="24"/>
          <w:szCs w:val="24"/>
        </w:rPr>
      </w:pPr>
      <w:r>
        <w:rPr>
          <w:sz w:val="24"/>
          <w:szCs w:val="24"/>
        </w:rPr>
        <w:t xml:space="preserve"> </w:t>
      </w:r>
    </w:p>
    <w:p w:rsidR="00FA4103" w:rsidRPr="0036792E" w:rsidRDefault="00163A35">
      <w:pPr>
        <w:contextualSpacing w:val="0"/>
        <w:rPr>
          <w:color w:val="1155CC"/>
          <w:u w:val="single"/>
        </w:rPr>
      </w:pPr>
      <w:r w:rsidRPr="0036792E">
        <w:fldChar w:fldCharType="begin"/>
      </w:r>
      <w:r w:rsidRPr="0036792E">
        <w:instrText xml:space="preserve"> HYPERLINK "https://www.dropbox.com/s/x3nh5x80b7r2gk5/SMART3Seq_Single-indexing_PCR_primers.xlsx?dl=0" </w:instrText>
      </w:r>
      <w:r w:rsidRPr="0036792E">
        <w:fldChar w:fldCharType="separate"/>
      </w:r>
      <w:r w:rsidRPr="0036792E">
        <w:rPr>
          <w:color w:val="1155CC"/>
          <w:u w:val="single"/>
        </w:rPr>
        <w:t>FULL TABLE EXCEL TABLE</w:t>
      </w:r>
    </w:p>
    <w:p w:rsidR="00FA4103" w:rsidRPr="0036792E" w:rsidRDefault="00163A35">
      <w:pPr>
        <w:contextualSpacing w:val="0"/>
      </w:pPr>
      <w:r w:rsidRPr="0036792E">
        <w:fldChar w:fldCharType="end"/>
      </w:r>
    </w:p>
    <w:p w:rsidR="00CE17DC" w:rsidRPr="0036792E" w:rsidRDefault="00163A35" w:rsidP="00CE17DC">
      <w:pPr>
        <w:pStyle w:val="ListParagraph"/>
        <w:numPr>
          <w:ilvl w:val="0"/>
          <w:numId w:val="1"/>
        </w:numPr>
        <w:contextualSpacing w:val="0"/>
      </w:pPr>
      <w:r w:rsidRPr="0036792E">
        <w:t xml:space="preserve">Indices 1-16, 18-23, 25, and 27 match the </w:t>
      </w:r>
      <w:proofErr w:type="spellStart"/>
      <w:r w:rsidRPr="0036792E">
        <w:t>TruSeq</w:t>
      </w:r>
      <w:proofErr w:type="spellEnd"/>
      <w:r w:rsidRPr="0036792E">
        <w:t xml:space="preserve"> LT system so you can use that setting for a sample sheet in the Illumina Experiment Manager or </w:t>
      </w:r>
      <w:proofErr w:type="spellStart"/>
      <w:r w:rsidRPr="0036792E">
        <w:t>BaseSpace</w:t>
      </w:r>
      <w:proofErr w:type="spellEnd"/>
      <w:r w:rsidRPr="0036792E">
        <w:t>. The other indices require loading special files.</w:t>
      </w:r>
    </w:p>
    <w:p w:rsidR="00CE17DC" w:rsidRPr="0036792E" w:rsidRDefault="00163A35" w:rsidP="00CE17DC">
      <w:pPr>
        <w:pStyle w:val="ListParagraph"/>
        <w:numPr>
          <w:ilvl w:val="0"/>
          <w:numId w:val="1"/>
        </w:numPr>
        <w:contextualSpacing w:val="0"/>
      </w:pPr>
      <w:r w:rsidRPr="0036792E">
        <w:t xml:space="preserve">Index 23 is G-rich in sequencing orientation and therefore produces low signal on the two-color chemistry of the </w:t>
      </w:r>
      <w:proofErr w:type="spellStart"/>
      <w:r w:rsidRPr="0036792E">
        <w:t>NextSeq</w:t>
      </w:r>
      <w:proofErr w:type="spellEnd"/>
      <w:r w:rsidRPr="0036792E">
        <w:t xml:space="preserve">, </w:t>
      </w:r>
      <w:proofErr w:type="spellStart"/>
      <w:r w:rsidRPr="0036792E">
        <w:t>MiniSeq</w:t>
      </w:r>
      <w:proofErr w:type="spellEnd"/>
      <w:r w:rsidRPr="0036792E">
        <w:t xml:space="preserve">, and </w:t>
      </w:r>
      <w:proofErr w:type="spellStart"/>
      <w:r w:rsidRPr="0036792E">
        <w:t>NovaSeq</w:t>
      </w:r>
      <w:proofErr w:type="spellEnd"/>
      <w:r w:rsidRPr="0036792E">
        <w:t>; avoid using index 23 on these platforms.</w:t>
      </w:r>
    </w:p>
    <w:p w:rsidR="00FA4103" w:rsidRPr="0036792E" w:rsidRDefault="00163A35" w:rsidP="00CE17DC">
      <w:pPr>
        <w:pStyle w:val="ListParagraph"/>
        <w:numPr>
          <w:ilvl w:val="0"/>
          <w:numId w:val="1"/>
        </w:numPr>
        <w:contextualSpacing w:val="0"/>
      </w:pPr>
      <w:r w:rsidRPr="0036792E">
        <w:t>Index 41 differs from indices 11 and 31 by only 2 bases; avoid pooling 11+41 or 31+41.</w:t>
      </w:r>
    </w:p>
    <w:p w:rsidR="00FA4103" w:rsidRPr="0036792E" w:rsidRDefault="00163A35">
      <w:pPr>
        <w:contextualSpacing w:val="0"/>
      </w:pPr>
      <w:r w:rsidRPr="0036792E">
        <w:t xml:space="preserve"> </w:t>
      </w:r>
    </w:p>
    <w:p w:rsidR="00FA4103" w:rsidRDefault="00FA4103">
      <w:pPr>
        <w:contextualSpacing w:val="0"/>
      </w:pPr>
    </w:p>
    <w:p w:rsidR="0036792E" w:rsidRDefault="0036792E">
      <w:pPr>
        <w:rPr>
          <w:b/>
        </w:rPr>
      </w:pPr>
      <w:r>
        <w:rPr>
          <w:b/>
        </w:rPr>
        <w:br w:type="page"/>
      </w:r>
    </w:p>
    <w:p w:rsidR="00DB71DD" w:rsidRDefault="00193F42" w:rsidP="00B45759">
      <w:pPr>
        <w:contextualSpacing w:val="0"/>
        <w:rPr>
          <w:b/>
        </w:rPr>
      </w:pPr>
      <w:r>
        <w:rPr>
          <w:b/>
        </w:rPr>
        <w:lastRenderedPageBreak/>
        <w:t>NOTE 4: A</w:t>
      </w:r>
      <w:r w:rsidR="005969F0">
        <w:rPr>
          <w:b/>
        </w:rPr>
        <w:t>djusting PCR Cycles</w:t>
      </w:r>
    </w:p>
    <w:p w:rsidR="005969F0" w:rsidRDefault="005969F0" w:rsidP="00B45759">
      <w:pPr>
        <w:contextualSpacing w:val="0"/>
        <w:rPr>
          <w:b/>
        </w:rPr>
      </w:pPr>
    </w:p>
    <w:p w:rsidR="005969F0" w:rsidRDefault="00B45759" w:rsidP="00B45759">
      <w:pPr>
        <w:contextualSpacing w:val="0"/>
        <w:rPr>
          <w:rFonts w:eastAsia="Malgun Gothic"/>
        </w:rPr>
      </w:pPr>
      <w:r w:rsidRPr="00B45759">
        <w:t xml:space="preserve">The </w:t>
      </w:r>
      <w:r w:rsidR="00193F42" w:rsidRPr="00B45759">
        <w:rPr>
          <w:rFonts w:eastAsia="Malgun Gothic"/>
        </w:rPr>
        <w:t>number</w:t>
      </w:r>
      <w:r w:rsidR="007B3571">
        <w:rPr>
          <w:rFonts w:eastAsia="Malgun Gothic"/>
        </w:rPr>
        <w:t xml:space="preserve"> of PCR cycles (C) </w:t>
      </w:r>
      <w:r w:rsidR="00193F42" w:rsidRPr="00B45759">
        <w:rPr>
          <w:rFonts w:eastAsia="Malgun Gothic"/>
        </w:rPr>
        <w:t xml:space="preserve">needs to be adjusted as a function of multiplex level </w:t>
      </w:r>
      <w:r w:rsidR="00DB71DD">
        <w:rPr>
          <w:rFonts w:eastAsia="Malgun Gothic"/>
        </w:rPr>
        <w:t>(</w:t>
      </w:r>
      <w:r w:rsidR="00193F42" w:rsidRPr="007B3571">
        <w:rPr>
          <w:rFonts w:eastAsia="Malgun Gothic"/>
        </w:rPr>
        <w:t>N</w:t>
      </w:r>
      <w:r w:rsidR="00DB71DD" w:rsidRPr="007B3571">
        <w:rPr>
          <w:rFonts w:eastAsia="Malgun Gothic"/>
        </w:rPr>
        <w:t>)</w:t>
      </w:r>
      <w:r w:rsidR="00DB71DD">
        <w:rPr>
          <w:rFonts w:eastAsia="Malgun Gothic"/>
          <w:b/>
        </w:rPr>
        <w:t xml:space="preserve"> </w:t>
      </w:r>
      <w:r w:rsidR="00DB71DD" w:rsidRPr="00DB71DD">
        <w:rPr>
          <w:rFonts w:eastAsia="Malgun Gothic"/>
        </w:rPr>
        <w:t>and number of cells</w:t>
      </w:r>
      <w:r w:rsidR="00193F42" w:rsidRPr="00DB71DD">
        <w:rPr>
          <w:rFonts w:eastAsia="Malgun Gothic"/>
        </w:rPr>
        <w:t xml:space="preserve"> </w:t>
      </w:r>
      <w:r w:rsidR="00193F42" w:rsidRPr="00B45759">
        <w:rPr>
          <w:rFonts w:eastAsia="Malgun Gothic"/>
        </w:rPr>
        <w:t>such as</w:t>
      </w:r>
      <w:r w:rsidR="005969F0">
        <w:rPr>
          <w:rFonts w:eastAsia="Malgun Gothic"/>
        </w:rPr>
        <w:t>:</w:t>
      </w:r>
      <w:r w:rsidR="00193F42" w:rsidRPr="00B45759">
        <w:rPr>
          <w:rFonts w:eastAsia="Malgun Gothic"/>
        </w:rPr>
        <w:t xml:space="preserve"> </w:t>
      </w:r>
    </w:p>
    <w:p w:rsidR="005969F0" w:rsidRPr="007B3571" w:rsidRDefault="005969F0" w:rsidP="005969F0">
      <w:pPr>
        <w:contextualSpacing w:val="0"/>
        <w:jc w:val="center"/>
        <w:rPr>
          <w:rFonts w:eastAsia="Malgun Gothic"/>
        </w:rPr>
      </w:pPr>
      <m:oMathPara>
        <m:oMath>
          <m:r>
            <m:rPr>
              <m:sty m:val="bi"/>
            </m:rPr>
            <w:rPr>
              <w:rFonts w:ascii="Cambria Math" w:eastAsia="Malgun Gothic" w:hAnsi="Cambria Math"/>
            </w:rPr>
            <m:t>C= 19 -</m:t>
          </m:r>
          <m:f>
            <m:fPr>
              <m:ctrlPr>
                <w:rPr>
                  <w:rFonts w:ascii="Cambria Math" w:eastAsia="Malgun Gothic" w:hAnsi="Cambria Math"/>
                  <w:b/>
                  <w:i/>
                </w:rPr>
              </m:ctrlPr>
            </m:fPr>
            <m:num>
              <m:r>
                <m:rPr>
                  <m:sty m:val="bi"/>
                </m:rPr>
                <w:rPr>
                  <w:rFonts w:ascii="Cambria Math" w:eastAsia="Malgun Gothic" w:hAnsi="Cambria Math"/>
                </w:rPr>
                <m:t>log</m:t>
              </m:r>
              <m:d>
                <m:dPr>
                  <m:ctrlPr>
                    <w:rPr>
                      <w:rFonts w:ascii="Cambria Math" w:eastAsia="Malgun Gothic" w:hAnsi="Cambria Math"/>
                      <w:b/>
                      <w:i/>
                    </w:rPr>
                  </m:ctrlPr>
                </m:dPr>
                <m:e>
                  <m:r>
                    <m:rPr>
                      <m:sty m:val="bi"/>
                    </m:rPr>
                    <w:rPr>
                      <w:rFonts w:ascii="Cambria Math" w:eastAsia="Malgun Gothic" w:hAnsi="Cambria Math"/>
                    </w:rPr>
                    <m:t xml:space="preserve">N*total RNA </m:t>
                  </m:r>
                  <m:d>
                    <m:dPr>
                      <m:ctrlPr>
                        <w:rPr>
                          <w:rFonts w:ascii="Cambria Math" w:eastAsia="Malgun Gothic" w:hAnsi="Cambria Math"/>
                          <w:b/>
                          <w:i/>
                        </w:rPr>
                      </m:ctrlPr>
                    </m:dPr>
                    <m:e>
                      <m:r>
                        <m:rPr>
                          <m:sty m:val="bi"/>
                        </m:rPr>
                        <w:rPr>
                          <w:rFonts w:ascii="Cambria Math" w:eastAsia="Malgun Gothic" w:hAnsi="Cambria Math"/>
                        </w:rPr>
                        <m:t>ng</m:t>
                      </m:r>
                    </m:e>
                  </m:d>
                  <m:r>
                    <m:rPr>
                      <m:sty m:val="bi"/>
                    </m:rPr>
                    <w:rPr>
                      <w:rFonts w:ascii="Cambria Math" w:eastAsia="Malgun Gothic" w:hAnsi="Cambria Math"/>
                    </w:rPr>
                    <m:t xml:space="preserve"> in sample </m:t>
                  </m:r>
                </m:e>
              </m:d>
            </m:num>
            <m:den>
              <m:r>
                <m:rPr>
                  <m:sty m:val="bi"/>
                </m:rPr>
                <w:rPr>
                  <w:rFonts w:ascii="Cambria Math" w:eastAsia="Malgun Gothic" w:hAnsi="Cambria Math"/>
                </w:rPr>
                <m:t>log</m:t>
              </m:r>
              <m:d>
                <m:dPr>
                  <m:ctrlPr>
                    <w:rPr>
                      <w:rFonts w:ascii="Cambria Math" w:eastAsia="Malgun Gothic" w:hAnsi="Cambria Math"/>
                      <w:b/>
                      <w:i/>
                    </w:rPr>
                  </m:ctrlPr>
                </m:dPr>
                <m:e>
                  <m:r>
                    <m:rPr>
                      <m:sty m:val="bi"/>
                    </m:rPr>
                    <w:rPr>
                      <w:rFonts w:ascii="Cambria Math" w:eastAsia="Malgun Gothic" w:hAnsi="Cambria Math"/>
                    </w:rPr>
                    <m:t>1.9</m:t>
                  </m:r>
                </m:e>
              </m:d>
            </m:den>
          </m:f>
          <m:r>
            <m:rPr>
              <m:sty m:val="bi"/>
            </m:rPr>
            <w:rPr>
              <w:rFonts w:ascii="Cambria Math" w:eastAsia="Malgun Gothic" w:hAnsi="Cambria Math"/>
            </w:rPr>
            <m:t xml:space="preserve">      </m:t>
          </m:r>
        </m:oMath>
      </m:oMathPara>
    </w:p>
    <w:p w:rsidR="007B3571" w:rsidRDefault="007B3571" w:rsidP="00B45759">
      <w:pPr>
        <w:contextualSpacing w:val="0"/>
        <w:rPr>
          <w:rFonts w:eastAsia="Malgun Gothic"/>
        </w:rPr>
      </w:pPr>
    </w:p>
    <w:p w:rsidR="00193F42" w:rsidRDefault="00193F42" w:rsidP="00B45759">
      <w:pPr>
        <w:contextualSpacing w:val="0"/>
        <w:rPr>
          <w:rFonts w:eastAsia="Malgun Gothic"/>
          <w:i/>
        </w:rPr>
      </w:pPr>
      <w:r w:rsidRPr="00B45759">
        <w:rPr>
          <w:rFonts w:eastAsia="Malgun Gothic"/>
        </w:rPr>
        <w:t>RNA ng can be estimated from number of cells and quality of the sample. 1000 cells can yield 6</w:t>
      </w:r>
      <w:r w:rsidR="00B45759">
        <w:rPr>
          <w:rFonts w:eastAsia="Malgun Gothic"/>
        </w:rPr>
        <w:t xml:space="preserve"> </w:t>
      </w:r>
      <w:r w:rsidRPr="00B45759">
        <w:rPr>
          <w:rFonts w:eastAsia="Malgun Gothic"/>
        </w:rPr>
        <w:t>ng from frozen but as low as 1ng from FFPE. Round to the next integer number of cycles. Overamplification may lead to wasted sequencing capacity.</w:t>
      </w:r>
      <w:r w:rsidRPr="00B45759">
        <w:rPr>
          <w:rFonts w:eastAsia="Malgun Gothic"/>
          <w:i/>
        </w:rPr>
        <w:t xml:space="preserve"> </w:t>
      </w:r>
    </w:p>
    <w:p w:rsidR="00DB71DD" w:rsidRPr="00DB71DD" w:rsidRDefault="00DB71DD" w:rsidP="00B45759">
      <w:pPr>
        <w:contextualSpacing w:val="0"/>
        <w:rPr>
          <w:b/>
        </w:rPr>
      </w:pPr>
    </w:p>
    <w:p w:rsidR="002949A3" w:rsidRPr="00DB71DD" w:rsidRDefault="00DB71DD" w:rsidP="00B45759">
      <w:pPr>
        <w:contextualSpacing w:val="0"/>
        <w:rPr>
          <w:rFonts w:eastAsia="Malgun Gothic"/>
          <w:b/>
          <w:i/>
        </w:rPr>
      </w:pPr>
      <w:r w:rsidRPr="00DB71DD">
        <w:rPr>
          <w:rFonts w:eastAsia="Malgun Gothic"/>
          <w:b/>
          <w:i/>
        </w:rPr>
        <w:t>Table 1: PCR cycle adjustment</w:t>
      </w:r>
    </w:p>
    <w:tbl>
      <w:tblPr>
        <w:tblStyle w:val="TableGrid"/>
        <w:tblW w:w="0" w:type="auto"/>
        <w:tblLook w:val="04A0" w:firstRow="1" w:lastRow="0" w:firstColumn="1" w:lastColumn="0" w:noHBand="0" w:noVBand="1"/>
      </w:tblPr>
      <w:tblGrid>
        <w:gridCol w:w="625"/>
        <w:gridCol w:w="1620"/>
        <w:gridCol w:w="1350"/>
        <w:gridCol w:w="1170"/>
        <w:gridCol w:w="1260"/>
        <w:gridCol w:w="810"/>
      </w:tblGrid>
      <w:tr w:rsidR="00DB71DD" w:rsidTr="005969F0">
        <w:tc>
          <w:tcPr>
            <w:tcW w:w="2245" w:type="dxa"/>
            <w:gridSpan w:val="2"/>
            <w:vMerge w:val="restart"/>
            <w:shd w:val="clear" w:color="auto" w:fill="FFFFFF" w:themeFill="background1"/>
          </w:tcPr>
          <w:p w:rsidR="00DB71DD" w:rsidRPr="00DB71DD" w:rsidRDefault="00DB71DD" w:rsidP="00B45759">
            <w:pPr>
              <w:contextualSpacing w:val="0"/>
              <w:rPr>
                <w:rFonts w:eastAsia="Malgun Gothic"/>
                <w:b/>
              </w:rPr>
            </w:pPr>
            <w:r w:rsidRPr="00DB71DD">
              <w:rPr>
                <w:rFonts w:eastAsia="Malgun Gothic"/>
                <w:b/>
                <w:color w:val="000000" w:themeColor="text1"/>
              </w:rPr>
              <w:t xml:space="preserve">Number of cycles </w:t>
            </w:r>
          </w:p>
        </w:tc>
        <w:tc>
          <w:tcPr>
            <w:tcW w:w="4590" w:type="dxa"/>
            <w:gridSpan w:val="4"/>
            <w:shd w:val="clear" w:color="auto" w:fill="C6D9F1" w:themeFill="text2" w:themeFillTint="33"/>
          </w:tcPr>
          <w:p w:rsidR="00DB71DD" w:rsidRPr="00DB71DD" w:rsidRDefault="00DB71DD" w:rsidP="00B45759">
            <w:pPr>
              <w:contextualSpacing w:val="0"/>
              <w:rPr>
                <w:rFonts w:eastAsia="Malgun Gothic"/>
                <w:b/>
              </w:rPr>
            </w:pPr>
            <w:r w:rsidRPr="00DB71DD">
              <w:rPr>
                <w:rFonts w:eastAsia="Malgun Gothic"/>
                <w:b/>
              </w:rPr>
              <w:t>Samples in pool (N)</w:t>
            </w:r>
          </w:p>
        </w:tc>
      </w:tr>
      <w:tr w:rsidR="00DB71DD" w:rsidTr="005969F0">
        <w:tc>
          <w:tcPr>
            <w:tcW w:w="2245" w:type="dxa"/>
            <w:gridSpan w:val="2"/>
            <w:vMerge/>
            <w:shd w:val="clear" w:color="auto" w:fill="FFFFFF" w:themeFill="background1"/>
          </w:tcPr>
          <w:p w:rsidR="00DB71DD" w:rsidRDefault="00DB71DD" w:rsidP="00B45759">
            <w:pPr>
              <w:contextualSpacing w:val="0"/>
              <w:rPr>
                <w:rFonts w:eastAsia="Malgun Gothic"/>
              </w:rPr>
            </w:pPr>
          </w:p>
        </w:tc>
        <w:tc>
          <w:tcPr>
            <w:tcW w:w="1350" w:type="dxa"/>
            <w:tcBorders>
              <w:bottom w:val="single" w:sz="4" w:space="0" w:color="auto"/>
            </w:tcBorders>
            <w:shd w:val="clear" w:color="auto" w:fill="C6D9F1" w:themeFill="text2" w:themeFillTint="33"/>
          </w:tcPr>
          <w:p w:rsidR="00DB71DD" w:rsidRPr="00DB71DD" w:rsidRDefault="00DB71DD" w:rsidP="00B45759">
            <w:pPr>
              <w:contextualSpacing w:val="0"/>
              <w:rPr>
                <w:rFonts w:eastAsia="Malgun Gothic"/>
                <w:b/>
              </w:rPr>
            </w:pPr>
            <w:r w:rsidRPr="00DB71DD">
              <w:rPr>
                <w:rFonts w:eastAsia="Malgun Gothic"/>
                <w:b/>
              </w:rPr>
              <w:t>1</w:t>
            </w:r>
          </w:p>
        </w:tc>
        <w:tc>
          <w:tcPr>
            <w:tcW w:w="1170" w:type="dxa"/>
            <w:tcBorders>
              <w:bottom w:val="single" w:sz="4" w:space="0" w:color="auto"/>
            </w:tcBorders>
            <w:shd w:val="clear" w:color="auto" w:fill="C6D9F1" w:themeFill="text2" w:themeFillTint="33"/>
          </w:tcPr>
          <w:p w:rsidR="00DB71DD" w:rsidRPr="00DB71DD" w:rsidRDefault="00DB71DD" w:rsidP="00B45759">
            <w:pPr>
              <w:contextualSpacing w:val="0"/>
              <w:rPr>
                <w:rFonts w:eastAsia="Malgun Gothic"/>
                <w:b/>
              </w:rPr>
            </w:pPr>
            <w:r w:rsidRPr="00DB71DD">
              <w:rPr>
                <w:rFonts w:eastAsia="Malgun Gothic"/>
                <w:b/>
              </w:rPr>
              <w:t>5</w:t>
            </w:r>
          </w:p>
        </w:tc>
        <w:tc>
          <w:tcPr>
            <w:tcW w:w="1260" w:type="dxa"/>
            <w:tcBorders>
              <w:bottom w:val="single" w:sz="4" w:space="0" w:color="auto"/>
            </w:tcBorders>
            <w:shd w:val="clear" w:color="auto" w:fill="C6D9F1" w:themeFill="text2" w:themeFillTint="33"/>
          </w:tcPr>
          <w:p w:rsidR="00DB71DD" w:rsidRPr="00DB71DD" w:rsidRDefault="00DB71DD" w:rsidP="00B45759">
            <w:pPr>
              <w:contextualSpacing w:val="0"/>
              <w:rPr>
                <w:rFonts w:eastAsia="Malgun Gothic"/>
                <w:b/>
              </w:rPr>
            </w:pPr>
            <w:r w:rsidRPr="00DB71DD">
              <w:rPr>
                <w:rFonts w:eastAsia="Malgun Gothic"/>
                <w:b/>
              </w:rPr>
              <w:t>10</w:t>
            </w:r>
          </w:p>
        </w:tc>
        <w:tc>
          <w:tcPr>
            <w:tcW w:w="810" w:type="dxa"/>
            <w:tcBorders>
              <w:bottom w:val="single" w:sz="4" w:space="0" w:color="auto"/>
            </w:tcBorders>
            <w:shd w:val="clear" w:color="auto" w:fill="C6D9F1" w:themeFill="text2" w:themeFillTint="33"/>
          </w:tcPr>
          <w:p w:rsidR="00DB71DD" w:rsidRPr="00DB71DD" w:rsidRDefault="00DB71DD" w:rsidP="00B45759">
            <w:pPr>
              <w:contextualSpacing w:val="0"/>
              <w:rPr>
                <w:rFonts w:eastAsia="Malgun Gothic"/>
                <w:b/>
              </w:rPr>
            </w:pPr>
            <w:r w:rsidRPr="00DB71DD">
              <w:rPr>
                <w:rFonts w:eastAsia="Malgun Gothic"/>
                <w:b/>
              </w:rPr>
              <w:t>20</w:t>
            </w:r>
          </w:p>
        </w:tc>
      </w:tr>
      <w:tr w:rsidR="002949A3" w:rsidTr="005969F0">
        <w:tc>
          <w:tcPr>
            <w:tcW w:w="625" w:type="dxa"/>
            <w:vMerge w:val="restart"/>
            <w:shd w:val="clear" w:color="auto" w:fill="DBE5F1" w:themeFill="accent1" w:themeFillTint="33"/>
            <w:textDirection w:val="btLr"/>
          </w:tcPr>
          <w:p w:rsidR="002949A3" w:rsidRPr="00DB71DD" w:rsidRDefault="005969F0" w:rsidP="005969F0">
            <w:pPr>
              <w:ind w:left="113" w:right="113"/>
              <w:contextualSpacing w:val="0"/>
              <w:jc w:val="center"/>
              <w:rPr>
                <w:rFonts w:eastAsia="Malgun Gothic"/>
                <w:b/>
              </w:rPr>
            </w:pPr>
            <w:r w:rsidRPr="00DB71DD">
              <w:rPr>
                <w:rFonts w:eastAsia="Malgun Gothic"/>
                <w:b/>
              </w:rPr>
              <w:t>C</w:t>
            </w:r>
            <w:r w:rsidR="002949A3" w:rsidRPr="00DB71DD">
              <w:rPr>
                <w:rFonts w:eastAsia="Malgun Gothic"/>
                <w:b/>
              </w:rPr>
              <w:t>ells</w:t>
            </w:r>
          </w:p>
        </w:tc>
        <w:tc>
          <w:tcPr>
            <w:tcW w:w="1620" w:type="dxa"/>
            <w:shd w:val="clear" w:color="auto" w:fill="DBE5F1" w:themeFill="accent1" w:themeFillTint="33"/>
          </w:tcPr>
          <w:p w:rsidR="002949A3" w:rsidRPr="00DB71DD" w:rsidRDefault="002949A3" w:rsidP="00B45759">
            <w:pPr>
              <w:contextualSpacing w:val="0"/>
              <w:rPr>
                <w:rFonts w:eastAsia="Malgun Gothic"/>
                <w:b/>
              </w:rPr>
            </w:pPr>
            <w:r w:rsidRPr="00DB71DD">
              <w:rPr>
                <w:rFonts w:eastAsia="Malgun Gothic"/>
                <w:b/>
              </w:rPr>
              <w:t>100</w:t>
            </w:r>
          </w:p>
        </w:tc>
        <w:tc>
          <w:tcPr>
            <w:tcW w:w="1350" w:type="dxa"/>
            <w:shd w:val="clear" w:color="auto" w:fill="FFFFFF" w:themeFill="background1"/>
          </w:tcPr>
          <w:p w:rsidR="002949A3" w:rsidRPr="005969F0" w:rsidRDefault="002949A3" w:rsidP="00B45759">
            <w:pPr>
              <w:contextualSpacing w:val="0"/>
              <w:rPr>
                <w:rFonts w:eastAsia="Malgun Gothic"/>
              </w:rPr>
            </w:pPr>
            <w:r w:rsidRPr="005969F0">
              <w:rPr>
                <w:rFonts w:eastAsia="Malgun Gothic"/>
              </w:rPr>
              <w:t>16</w:t>
            </w:r>
          </w:p>
        </w:tc>
        <w:tc>
          <w:tcPr>
            <w:tcW w:w="1170" w:type="dxa"/>
            <w:shd w:val="clear" w:color="auto" w:fill="FFFFFF" w:themeFill="background1"/>
          </w:tcPr>
          <w:p w:rsidR="002949A3" w:rsidRPr="005969F0" w:rsidRDefault="002949A3" w:rsidP="00B45759">
            <w:pPr>
              <w:contextualSpacing w:val="0"/>
              <w:rPr>
                <w:rFonts w:eastAsia="Malgun Gothic"/>
              </w:rPr>
            </w:pPr>
            <w:r w:rsidRPr="005969F0">
              <w:rPr>
                <w:rFonts w:eastAsia="Malgun Gothic"/>
              </w:rPr>
              <w:t>13</w:t>
            </w:r>
          </w:p>
        </w:tc>
        <w:tc>
          <w:tcPr>
            <w:tcW w:w="1260" w:type="dxa"/>
            <w:shd w:val="clear" w:color="auto" w:fill="FFFFFF" w:themeFill="background1"/>
          </w:tcPr>
          <w:p w:rsidR="002949A3" w:rsidRPr="005969F0" w:rsidRDefault="002949A3" w:rsidP="00B45759">
            <w:pPr>
              <w:contextualSpacing w:val="0"/>
              <w:rPr>
                <w:rFonts w:eastAsia="Malgun Gothic"/>
              </w:rPr>
            </w:pPr>
            <w:r w:rsidRPr="005969F0">
              <w:rPr>
                <w:rFonts w:eastAsia="Malgun Gothic"/>
              </w:rPr>
              <w:t>12</w:t>
            </w:r>
          </w:p>
        </w:tc>
        <w:tc>
          <w:tcPr>
            <w:tcW w:w="810" w:type="dxa"/>
            <w:shd w:val="clear" w:color="auto" w:fill="FFFFFF" w:themeFill="background1"/>
          </w:tcPr>
          <w:p w:rsidR="002949A3" w:rsidRPr="005969F0" w:rsidRDefault="002949A3" w:rsidP="00B45759">
            <w:pPr>
              <w:contextualSpacing w:val="0"/>
              <w:rPr>
                <w:rFonts w:eastAsia="Malgun Gothic"/>
              </w:rPr>
            </w:pPr>
            <w:r w:rsidRPr="005969F0">
              <w:rPr>
                <w:rFonts w:eastAsia="Malgun Gothic"/>
              </w:rPr>
              <w:t>11</w:t>
            </w:r>
          </w:p>
        </w:tc>
      </w:tr>
      <w:tr w:rsidR="002949A3" w:rsidTr="005969F0">
        <w:tc>
          <w:tcPr>
            <w:tcW w:w="625" w:type="dxa"/>
            <w:vMerge/>
            <w:shd w:val="clear" w:color="auto" w:fill="DBE5F1" w:themeFill="accent1" w:themeFillTint="33"/>
          </w:tcPr>
          <w:p w:rsidR="002949A3" w:rsidRPr="00DB71DD" w:rsidRDefault="002949A3" w:rsidP="00B45759">
            <w:pPr>
              <w:contextualSpacing w:val="0"/>
              <w:rPr>
                <w:rFonts w:eastAsia="Malgun Gothic"/>
                <w:b/>
              </w:rPr>
            </w:pPr>
          </w:p>
        </w:tc>
        <w:tc>
          <w:tcPr>
            <w:tcW w:w="1620" w:type="dxa"/>
            <w:shd w:val="clear" w:color="auto" w:fill="DBE5F1" w:themeFill="accent1" w:themeFillTint="33"/>
          </w:tcPr>
          <w:p w:rsidR="002949A3" w:rsidRPr="00DB71DD" w:rsidRDefault="002949A3" w:rsidP="00B45759">
            <w:pPr>
              <w:contextualSpacing w:val="0"/>
              <w:rPr>
                <w:rFonts w:eastAsia="Malgun Gothic"/>
                <w:b/>
              </w:rPr>
            </w:pPr>
            <w:r w:rsidRPr="00DB71DD">
              <w:rPr>
                <w:rFonts w:eastAsia="Malgun Gothic"/>
                <w:b/>
              </w:rPr>
              <w:t>500</w:t>
            </w:r>
          </w:p>
        </w:tc>
        <w:tc>
          <w:tcPr>
            <w:tcW w:w="1350" w:type="dxa"/>
            <w:shd w:val="clear" w:color="auto" w:fill="FFFFFF" w:themeFill="background1"/>
          </w:tcPr>
          <w:p w:rsidR="002949A3" w:rsidRPr="005969F0" w:rsidRDefault="002949A3" w:rsidP="00B45759">
            <w:pPr>
              <w:contextualSpacing w:val="0"/>
              <w:rPr>
                <w:rFonts w:eastAsia="Malgun Gothic"/>
              </w:rPr>
            </w:pPr>
            <w:r w:rsidRPr="005969F0">
              <w:rPr>
                <w:rFonts w:eastAsia="Malgun Gothic"/>
              </w:rPr>
              <w:t>13</w:t>
            </w:r>
          </w:p>
        </w:tc>
        <w:tc>
          <w:tcPr>
            <w:tcW w:w="1170" w:type="dxa"/>
            <w:shd w:val="clear" w:color="auto" w:fill="FFFFFF" w:themeFill="background1"/>
          </w:tcPr>
          <w:p w:rsidR="002949A3" w:rsidRPr="005969F0" w:rsidRDefault="002949A3" w:rsidP="00B45759">
            <w:pPr>
              <w:contextualSpacing w:val="0"/>
              <w:rPr>
                <w:rFonts w:eastAsia="Malgun Gothic"/>
              </w:rPr>
            </w:pPr>
            <w:r w:rsidRPr="005969F0">
              <w:rPr>
                <w:rFonts w:eastAsia="Malgun Gothic"/>
              </w:rPr>
              <w:t>11</w:t>
            </w:r>
          </w:p>
        </w:tc>
        <w:tc>
          <w:tcPr>
            <w:tcW w:w="1260" w:type="dxa"/>
            <w:shd w:val="clear" w:color="auto" w:fill="FFFFFF" w:themeFill="background1"/>
          </w:tcPr>
          <w:p w:rsidR="002949A3" w:rsidRPr="005969F0" w:rsidRDefault="002949A3" w:rsidP="00B45759">
            <w:pPr>
              <w:contextualSpacing w:val="0"/>
              <w:rPr>
                <w:rFonts w:eastAsia="Malgun Gothic"/>
              </w:rPr>
            </w:pPr>
            <w:r w:rsidRPr="005969F0">
              <w:rPr>
                <w:rFonts w:eastAsia="Malgun Gothic"/>
              </w:rPr>
              <w:t>10</w:t>
            </w:r>
          </w:p>
        </w:tc>
        <w:tc>
          <w:tcPr>
            <w:tcW w:w="810" w:type="dxa"/>
            <w:shd w:val="clear" w:color="auto" w:fill="FFFFFF" w:themeFill="background1"/>
          </w:tcPr>
          <w:p w:rsidR="002949A3" w:rsidRPr="005969F0" w:rsidRDefault="002949A3" w:rsidP="00B45759">
            <w:pPr>
              <w:contextualSpacing w:val="0"/>
              <w:rPr>
                <w:rFonts w:eastAsia="Malgun Gothic"/>
              </w:rPr>
            </w:pPr>
            <w:r w:rsidRPr="005969F0">
              <w:rPr>
                <w:rFonts w:eastAsia="Malgun Gothic"/>
              </w:rPr>
              <w:t>8</w:t>
            </w:r>
          </w:p>
        </w:tc>
      </w:tr>
      <w:tr w:rsidR="002949A3" w:rsidTr="005969F0">
        <w:tc>
          <w:tcPr>
            <w:tcW w:w="625" w:type="dxa"/>
            <w:vMerge/>
            <w:shd w:val="clear" w:color="auto" w:fill="DBE5F1" w:themeFill="accent1" w:themeFillTint="33"/>
          </w:tcPr>
          <w:p w:rsidR="002949A3" w:rsidRPr="00DB71DD" w:rsidRDefault="002949A3" w:rsidP="00B45759">
            <w:pPr>
              <w:contextualSpacing w:val="0"/>
              <w:rPr>
                <w:rFonts w:eastAsia="Malgun Gothic"/>
                <w:b/>
              </w:rPr>
            </w:pPr>
          </w:p>
        </w:tc>
        <w:tc>
          <w:tcPr>
            <w:tcW w:w="1620" w:type="dxa"/>
            <w:shd w:val="clear" w:color="auto" w:fill="DBE5F1" w:themeFill="accent1" w:themeFillTint="33"/>
          </w:tcPr>
          <w:p w:rsidR="002949A3" w:rsidRPr="00DB71DD" w:rsidRDefault="002949A3" w:rsidP="00B45759">
            <w:pPr>
              <w:contextualSpacing w:val="0"/>
              <w:rPr>
                <w:rFonts w:eastAsia="Malgun Gothic"/>
                <w:b/>
              </w:rPr>
            </w:pPr>
            <w:r w:rsidRPr="00DB71DD">
              <w:rPr>
                <w:rFonts w:eastAsia="Malgun Gothic"/>
                <w:b/>
              </w:rPr>
              <w:t>2000</w:t>
            </w:r>
          </w:p>
        </w:tc>
        <w:tc>
          <w:tcPr>
            <w:tcW w:w="1350" w:type="dxa"/>
            <w:shd w:val="clear" w:color="auto" w:fill="FFFFFF" w:themeFill="background1"/>
          </w:tcPr>
          <w:p w:rsidR="002949A3" w:rsidRPr="005969F0" w:rsidRDefault="002949A3" w:rsidP="00B45759">
            <w:pPr>
              <w:contextualSpacing w:val="0"/>
              <w:rPr>
                <w:rFonts w:eastAsia="Malgun Gothic"/>
              </w:rPr>
            </w:pPr>
            <w:r w:rsidRPr="005969F0">
              <w:rPr>
                <w:rFonts w:eastAsia="Malgun Gothic"/>
              </w:rPr>
              <w:t>11</w:t>
            </w:r>
          </w:p>
        </w:tc>
        <w:tc>
          <w:tcPr>
            <w:tcW w:w="1170" w:type="dxa"/>
            <w:shd w:val="clear" w:color="auto" w:fill="FFFFFF" w:themeFill="background1"/>
          </w:tcPr>
          <w:p w:rsidR="002949A3" w:rsidRPr="005969F0" w:rsidRDefault="002949A3" w:rsidP="00B45759">
            <w:pPr>
              <w:contextualSpacing w:val="0"/>
              <w:rPr>
                <w:rFonts w:eastAsia="Malgun Gothic"/>
              </w:rPr>
            </w:pPr>
            <w:r w:rsidRPr="005969F0">
              <w:rPr>
                <w:rFonts w:eastAsia="Malgun Gothic"/>
              </w:rPr>
              <w:t>8</w:t>
            </w:r>
          </w:p>
        </w:tc>
        <w:tc>
          <w:tcPr>
            <w:tcW w:w="1260" w:type="dxa"/>
            <w:shd w:val="clear" w:color="auto" w:fill="FFFFFF" w:themeFill="background1"/>
          </w:tcPr>
          <w:p w:rsidR="002949A3" w:rsidRPr="005969F0" w:rsidRDefault="002949A3" w:rsidP="00B45759">
            <w:pPr>
              <w:contextualSpacing w:val="0"/>
              <w:rPr>
                <w:rFonts w:eastAsia="Malgun Gothic"/>
              </w:rPr>
            </w:pPr>
            <w:r w:rsidRPr="005969F0">
              <w:rPr>
                <w:rFonts w:eastAsia="Malgun Gothic"/>
              </w:rPr>
              <w:t>7</w:t>
            </w:r>
          </w:p>
        </w:tc>
        <w:tc>
          <w:tcPr>
            <w:tcW w:w="810" w:type="dxa"/>
            <w:shd w:val="clear" w:color="auto" w:fill="FFFFFF" w:themeFill="background1"/>
          </w:tcPr>
          <w:p w:rsidR="002949A3" w:rsidRPr="005969F0" w:rsidRDefault="002949A3" w:rsidP="00B45759">
            <w:pPr>
              <w:contextualSpacing w:val="0"/>
              <w:rPr>
                <w:rFonts w:eastAsia="Malgun Gothic"/>
              </w:rPr>
            </w:pPr>
            <w:r w:rsidRPr="005969F0">
              <w:rPr>
                <w:rFonts w:eastAsia="Malgun Gothic"/>
              </w:rPr>
              <w:t>6</w:t>
            </w:r>
          </w:p>
        </w:tc>
      </w:tr>
      <w:tr w:rsidR="002949A3" w:rsidTr="005969F0">
        <w:tc>
          <w:tcPr>
            <w:tcW w:w="625" w:type="dxa"/>
            <w:vMerge/>
            <w:shd w:val="clear" w:color="auto" w:fill="DBE5F1" w:themeFill="accent1" w:themeFillTint="33"/>
          </w:tcPr>
          <w:p w:rsidR="002949A3" w:rsidRPr="00DB71DD" w:rsidRDefault="002949A3" w:rsidP="00B45759">
            <w:pPr>
              <w:contextualSpacing w:val="0"/>
              <w:rPr>
                <w:rFonts w:eastAsia="Malgun Gothic"/>
                <w:b/>
              </w:rPr>
            </w:pPr>
          </w:p>
        </w:tc>
        <w:tc>
          <w:tcPr>
            <w:tcW w:w="1620" w:type="dxa"/>
            <w:shd w:val="clear" w:color="auto" w:fill="DBE5F1" w:themeFill="accent1" w:themeFillTint="33"/>
          </w:tcPr>
          <w:p w:rsidR="002949A3" w:rsidRPr="00DB71DD" w:rsidRDefault="002949A3" w:rsidP="00B45759">
            <w:pPr>
              <w:contextualSpacing w:val="0"/>
              <w:rPr>
                <w:rFonts w:eastAsia="Malgun Gothic"/>
                <w:b/>
              </w:rPr>
            </w:pPr>
            <w:r w:rsidRPr="00DB71DD">
              <w:rPr>
                <w:rFonts w:eastAsia="Malgun Gothic"/>
                <w:b/>
              </w:rPr>
              <w:t>10000</w:t>
            </w:r>
          </w:p>
        </w:tc>
        <w:tc>
          <w:tcPr>
            <w:tcW w:w="1350" w:type="dxa"/>
            <w:shd w:val="clear" w:color="auto" w:fill="FFFFFF" w:themeFill="background1"/>
          </w:tcPr>
          <w:p w:rsidR="002949A3" w:rsidRPr="005969F0" w:rsidRDefault="002949A3" w:rsidP="00B45759">
            <w:pPr>
              <w:contextualSpacing w:val="0"/>
              <w:rPr>
                <w:rFonts w:eastAsia="Malgun Gothic"/>
              </w:rPr>
            </w:pPr>
            <w:r w:rsidRPr="005969F0">
              <w:rPr>
                <w:rFonts w:eastAsia="Malgun Gothic"/>
              </w:rPr>
              <w:t>8</w:t>
            </w:r>
          </w:p>
        </w:tc>
        <w:tc>
          <w:tcPr>
            <w:tcW w:w="1170" w:type="dxa"/>
            <w:shd w:val="clear" w:color="auto" w:fill="FFFFFF" w:themeFill="background1"/>
          </w:tcPr>
          <w:p w:rsidR="002949A3" w:rsidRPr="005969F0" w:rsidRDefault="002949A3" w:rsidP="00B45759">
            <w:pPr>
              <w:contextualSpacing w:val="0"/>
              <w:rPr>
                <w:rFonts w:eastAsia="Malgun Gothic"/>
              </w:rPr>
            </w:pPr>
            <w:r w:rsidRPr="005969F0">
              <w:rPr>
                <w:rFonts w:eastAsia="Malgun Gothic"/>
              </w:rPr>
              <w:t>6</w:t>
            </w:r>
          </w:p>
        </w:tc>
        <w:tc>
          <w:tcPr>
            <w:tcW w:w="1260" w:type="dxa"/>
            <w:shd w:val="clear" w:color="auto" w:fill="FFFFFF" w:themeFill="background1"/>
          </w:tcPr>
          <w:p w:rsidR="002949A3" w:rsidRPr="005969F0" w:rsidRDefault="002949A3" w:rsidP="00B45759">
            <w:pPr>
              <w:contextualSpacing w:val="0"/>
              <w:rPr>
                <w:rFonts w:eastAsia="Malgun Gothic"/>
              </w:rPr>
            </w:pPr>
            <w:r w:rsidRPr="005969F0">
              <w:rPr>
                <w:rFonts w:eastAsia="Malgun Gothic"/>
              </w:rPr>
              <w:t>5</w:t>
            </w:r>
          </w:p>
        </w:tc>
        <w:tc>
          <w:tcPr>
            <w:tcW w:w="810" w:type="dxa"/>
            <w:shd w:val="clear" w:color="auto" w:fill="FFFFFF" w:themeFill="background1"/>
          </w:tcPr>
          <w:p w:rsidR="002949A3" w:rsidRPr="005969F0" w:rsidRDefault="002949A3" w:rsidP="00B45759">
            <w:pPr>
              <w:contextualSpacing w:val="0"/>
              <w:rPr>
                <w:rFonts w:eastAsia="Malgun Gothic"/>
              </w:rPr>
            </w:pPr>
            <w:r w:rsidRPr="005969F0">
              <w:rPr>
                <w:rFonts w:eastAsia="Malgun Gothic"/>
              </w:rPr>
              <w:t>4</w:t>
            </w:r>
          </w:p>
        </w:tc>
      </w:tr>
    </w:tbl>
    <w:p w:rsidR="002949A3" w:rsidRPr="002949A3" w:rsidRDefault="002949A3" w:rsidP="00B45759">
      <w:pPr>
        <w:contextualSpacing w:val="0"/>
        <w:rPr>
          <w:rFonts w:eastAsia="Malgun Gothic"/>
        </w:rPr>
      </w:pPr>
    </w:p>
    <w:p w:rsidR="00FA4103" w:rsidRDefault="00FA4103">
      <w:pPr>
        <w:contextualSpacing w:val="0"/>
      </w:pPr>
    </w:p>
    <w:sectPr w:rsidR="00FA4103" w:rsidSect="0001370A">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167C2"/>
    <w:multiLevelType w:val="hybridMultilevel"/>
    <w:tmpl w:val="533809F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A6B8E"/>
    <w:multiLevelType w:val="hybridMultilevel"/>
    <w:tmpl w:val="DDDC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056AD0"/>
    <w:multiLevelType w:val="hybridMultilevel"/>
    <w:tmpl w:val="A6B05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9769F54">
      <w:start w:val="42"/>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03"/>
    <w:rsid w:val="0001370A"/>
    <w:rsid w:val="00094410"/>
    <w:rsid w:val="00163A35"/>
    <w:rsid w:val="00190D92"/>
    <w:rsid w:val="00193F42"/>
    <w:rsid w:val="00244C78"/>
    <w:rsid w:val="002601F3"/>
    <w:rsid w:val="002949A3"/>
    <w:rsid w:val="00316DB7"/>
    <w:rsid w:val="0032637D"/>
    <w:rsid w:val="0036792E"/>
    <w:rsid w:val="003747A3"/>
    <w:rsid w:val="00411061"/>
    <w:rsid w:val="004D2B65"/>
    <w:rsid w:val="00504650"/>
    <w:rsid w:val="005171D2"/>
    <w:rsid w:val="0055782D"/>
    <w:rsid w:val="005969F0"/>
    <w:rsid w:val="005A7C7C"/>
    <w:rsid w:val="005B24FB"/>
    <w:rsid w:val="006011D8"/>
    <w:rsid w:val="00603CCA"/>
    <w:rsid w:val="006810CF"/>
    <w:rsid w:val="006A12A6"/>
    <w:rsid w:val="007906E6"/>
    <w:rsid w:val="007A4C26"/>
    <w:rsid w:val="007B3571"/>
    <w:rsid w:val="007F2779"/>
    <w:rsid w:val="007F48D3"/>
    <w:rsid w:val="0086690F"/>
    <w:rsid w:val="00930058"/>
    <w:rsid w:val="00930CB0"/>
    <w:rsid w:val="00941428"/>
    <w:rsid w:val="0096629C"/>
    <w:rsid w:val="00AB65D8"/>
    <w:rsid w:val="00B15ED1"/>
    <w:rsid w:val="00B32963"/>
    <w:rsid w:val="00B45759"/>
    <w:rsid w:val="00C06837"/>
    <w:rsid w:val="00CE17DC"/>
    <w:rsid w:val="00CE7288"/>
    <w:rsid w:val="00D51BA4"/>
    <w:rsid w:val="00D51D67"/>
    <w:rsid w:val="00DB71DD"/>
    <w:rsid w:val="00F00EA1"/>
    <w:rsid w:val="00FA4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6F452-4B2A-314C-AB66-B9929B0D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7C7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7C7C"/>
    <w:rPr>
      <w:rFonts w:ascii="Times New Roman" w:hAnsi="Times New Roman" w:cs="Times New Roman"/>
      <w:sz w:val="18"/>
      <w:szCs w:val="18"/>
    </w:rPr>
  </w:style>
  <w:style w:type="character" w:styleId="Hyperlink">
    <w:name w:val="Hyperlink"/>
    <w:basedOn w:val="DefaultParagraphFont"/>
    <w:uiPriority w:val="99"/>
    <w:unhideWhenUsed/>
    <w:rsid w:val="005A7C7C"/>
    <w:rPr>
      <w:color w:val="0000FF" w:themeColor="hyperlink"/>
      <w:u w:val="single"/>
    </w:rPr>
  </w:style>
  <w:style w:type="character" w:customStyle="1" w:styleId="UnresolvedMention">
    <w:name w:val="Unresolved Mention"/>
    <w:basedOn w:val="DefaultParagraphFont"/>
    <w:uiPriority w:val="99"/>
    <w:semiHidden/>
    <w:unhideWhenUsed/>
    <w:rsid w:val="005A7C7C"/>
    <w:rPr>
      <w:color w:val="605E5C"/>
      <w:shd w:val="clear" w:color="auto" w:fill="E1DFDD"/>
    </w:rPr>
  </w:style>
  <w:style w:type="character" w:styleId="FollowedHyperlink">
    <w:name w:val="FollowedHyperlink"/>
    <w:basedOn w:val="DefaultParagraphFont"/>
    <w:uiPriority w:val="99"/>
    <w:semiHidden/>
    <w:unhideWhenUsed/>
    <w:rsid w:val="00504650"/>
    <w:rPr>
      <w:color w:val="800080" w:themeColor="followedHyperlink"/>
      <w:u w:val="single"/>
    </w:rPr>
  </w:style>
  <w:style w:type="character" w:styleId="Strong">
    <w:name w:val="Strong"/>
    <w:basedOn w:val="DefaultParagraphFont"/>
    <w:uiPriority w:val="22"/>
    <w:qFormat/>
    <w:rsid w:val="00504650"/>
    <w:rPr>
      <w:b/>
      <w:bCs/>
    </w:rPr>
  </w:style>
  <w:style w:type="paragraph" w:styleId="ListParagraph">
    <w:name w:val="List Paragraph"/>
    <w:basedOn w:val="Normal"/>
    <w:uiPriority w:val="34"/>
    <w:qFormat/>
    <w:rsid w:val="00CE17DC"/>
    <w:pPr>
      <w:ind w:left="720"/>
    </w:pPr>
  </w:style>
  <w:style w:type="table" w:styleId="TableGrid">
    <w:name w:val="Table Grid"/>
    <w:basedOn w:val="TableNormal"/>
    <w:uiPriority w:val="39"/>
    <w:rsid w:val="002949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hermofisher.com/order/catalog/product/LCM0505" TargetMode="External"/><Relationship Id="rId13" Type="http://schemas.openxmlformats.org/officeDocument/2006/relationships/hyperlink" Target="https://www.takarabio.com/products/cdna-synthesis/reverse-transcriptases/smartscribe" TargetMode="External"/><Relationship Id="rId3" Type="http://schemas.openxmlformats.org/officeDocument/2006/relationships/settings" Target="settings.xml"/><Relationship Id="rId7" Type="http://schemas.openxmlformats.org/officeDocument/2006/relationships/hyperlink" Target="https://www.thermofisher.com/order/catalog/product/LCM0213" TargetMode="External"/><Relationship Id="rId12" Type="http://schemas.openxmlformats.org/officeDocument/2006/relationships/hyperlink" Target="https://www.takarabio.com/products/cdna-synthesis/reverse-transcriptases/smartscri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rmofisher.com/order/catalog/product/LCM0214" TargetMode="External"/><Relationship Id="rId11" Type="http://schemas.openxmlformats.org/officeDocument/2006/relationships/hyperlink" Target="https://www.takarabio.com/products/cdna-synthesis/reverse-transcriptases/smartscribe" TargetMode="External"/><Relationship Id="rId5" Type="http://schemas.openxmlformats.org/officeDocument/2006/relationships/hyperlink" Target="https://www.biorxiv.org/content/biorxiv/suppl/2018/07/24/207340.DC3/207340-2.pdf" TargetMode="External"/><Relationship Id="rId15" Type="http://schemas.openxmlformats.org/officeDocument/2006/relationships/hyperlink" Target="https://www.beckman.com/reagents/genomic/cleanup-and-size-selection/pcr/A63880" TargetMode="External"/><Relationship Id="rId10" Type="http://schemas.openxmlformats.org/officeDocument/2006/relationships/hyperlink" Target="https://online-shop.eppendorf.us/US-en/Laboratory-Consumables-44512/Plates-44516/DNA-LoBind-Plates-PF-16858.html" TargetMode="External"/><Relationship Id="rId4" Type="http://schemas.openxmlformats.org/officeDocument/2006/relationships/webSettings" Target="webSettings.xml"/><Relationship Id="rId9" Type="http://schemas.openxmlformats.org/officeDocument/2006/relationships/hyperlink" Target="https://www.thermofisher.com/order/catalog/product/N8010611" TargetMode="External"/><Relationship Id="rId14" Type="http://schemas.openxmlformats.org/officeDocument/2006/relationships/hyperlink" Target="https://www.kapabiosystems.com/product-applications/products/pcr-2/kapa-hifi-pcr-k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ChunFang Zhu</dc:creator>
  <cp:lastModifiedBy>Shirley Zhu</cp:lastModifiedBy>
  <cp:revision>2</cp:revision>
  <dcterms:created xsi:type="dcterms:W3CDTF">2019-08-30T23:17:00Z</dcterms:created>
  <dcterms:modified xsi:type="dcterms:W3CDTF">2019-08-30T23:17:00Z</dcterms:modified>
</cp:coreProperties>
</file>