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5DA1" w14:textId="77777777" w:rsidR="00407240" w:rsidRPr="0043454D" w:rsidRDefault="00E5732B" w:rsidP="001F0376">
      <w:pPr>
        <w:pStyle w:val="Heading1"/>
        <w:spacing w:before="0"/>
      </w:pPr>
      <w:r>
        <w:t>CRU</w:t>
      </w:r>
      <w:r w:rsidR="003A1BC2" w:rsidRPr="0043454D">
        <w:t xml:space="preserve"> Setup</w:t>
      </w:r>
      <w:r w:rsidR="00407240" w:rsidRPr="0043454D">
        <w:t xml:space="preserve"> Checklist</w:t>
      </w:r>
    </w:p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352"/>
      </w:tblGrid>
      <w:tr w:rsidR="00F3153F" w14:paraId="4EF6A8D4" w14:textId="77777777" w:rsidTr="00FA7A52">
        <w:trPr>
          <w:trHeight w:val="216"/>
        </w:trPr>
        <w:tc>
          <w:tcPr>
            <w:tcW w:w="5000" w:type="pct"/>
            <w:shd w:val="clear" w:color="auto" w:fill="DBE5F1" w:themeFill="accent1" w:themeFillTint="33"/>
            <w:vAlign w:val="bottom"/>
          </w:tcPr>
          <w:p w14:paraId="1B2AAB34" w14:textId="77777777" w:rsidR="00F3153F" w:rsidRPr="00080433" w:rsidRDefault="00E5732B" w:rsidP="00080433">
            <w:pPr>
              <w:pStyle w:val="Heading2"/>
            </w:pPr>
            <w:r>
              <w:t>Getting started – Things to consider</w:t>
            </w:r>
            <w:r w:rsidR="00B12FF1">
              <w:t xml:space="preserve"> and expect</w:t>
            </w:r>
          </w:p>
        </w:tc>
      </w:tr>
      <w:tr w:rsidR="00E5732B" w14:paraId="2105AD76" w14:textId="77777777" w:rsidTr="00E5732B">
        <w:trPr>
          <w:trHeight w:val="360"/>
        </w:trPr>
        <w:tc>
          <w:tcPr>
            <w:tcW w:w="5000" w:type="pct"/>
            <w:vAlign w:val="center"/>
          </w:tcPr>
          <w:p w14:paraId="67B7BD08" w14:textId="77777777" w:rsidR="00E5732B" w:rsidRPr="00E5732B" w:rsidRDefault="00E5732B" w:rsidP="00E5732B">
            <w:pPr>
              <w:pStyle w:val="ListParagraph"/>
              <w:numPr>
                <w:ilvl w:val="0"/>
                <w:numId w:val="34"/>
              </w:numPr>
            </w:pPr>
            <w:r w:rsidRPr="00E5732B">
              <w:t>Evaluate existing processes and structures that can be utilized</w:t>
            </w:r>
            <w:r w:rsidR="00946F59">
              <w:t xml:space="preserve"> (for example, monthly faculty meetings where new studies are presented and discussed)</w:t>
            </w:r>
          </w:p>
          <w:p w14:paraId="0EDBCAF4" w14:textId="77777777" w:rsidR="00E5732B" w:rsidRPr="00D36A80" w:rsidRDefault="00E5732B" w:rsidP="00E5732B">
            <w:pPr>
              <w:pStyle w:val="ListParagraph"/>
              <w:numPr>
                <w:ilvl w:val="1"/>
                <w:numId w:val="34"/>
              </w:numPr>
            </w:pPr>
            <w:r w:rsidRPr="00E5732B">
              <w:t>Assess how they would need to be adapted and modified to meet CRU review needs</w:t>
            </w:r>
          </w:p>
        </w:tc>
      </w:tr>
      <w:tr w:rsidR="00E5732B" w14:paraId="7B019E21" w14:textId="77777777" w:rsidTr="00E5732B">
        <w:trPr>
          <w:trHeight w:val="360"/>
        </w:trPr>
        <w:tc>
          <w:tcPr>
            <w:tcW w:w="5000" w:type="pct"/>
            <w:vAlign w:val="center"/>
          </w:tcPr>
          <w:p w14:paraId="71DC51E5" w14:textId="77777777" w:rsidR="00E5732B" w:rsidRDefault="00E5732B" w:rsidP="00E5732B">
            <w:pPr>
              <w:pStyle w:val="ListParagraph"/>
              <w:ind w:left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Notes:</w:t>
            </w:r>
          </w:p>
          <w:p w14:paraId="2C3EA9B7" w14:textId="77777777" w:rsidR="004B1ED9" w:rsidRPr="00E5732B" w:rsidRDefault="004B1ED9" w:rsidP="00E5732B">
            <w:pPr>
              <w:pStyle w:val="ListParagraph"/>
              <w:ind w:left="0"/>
              <w:rPr>
                <w:color w:val="A6A6A6" w:themeColor="background1" w:themeShade="A6"/>
              </w:rPr>
            </w:pPr>
          </w:p>
        </w:tc>
      </w:tr>
      <w:tr w:rsidR="00E5732B" w:rsidRPr="006C1BD5" w14:paraId="7BBE68CA" w14:textId="77777777" w:rsidTr="00E5732B">
        <w:trPr>
          <w:trHeight w:val="576"/>
        </w:trPr>
        <w:tc>
          <w:tcPr>
            <w:tcW w:w="5000" w:type="pct"/>
            <w:vAlign w:val="center"/>
          </w:tcPr>
          <w:p w14:paraId="081C513A" w14:textId="77777777" w:rsidR="00E5732B" w:rsidRPr="00E5732B" w:rsidRDefault="00E5732B" w:rsidP="00E5732B">
            <w:pPr>
              <w:pStyle w:val="ListParagraph"/>
              <w:numPr>
                <w:ilvl w:val="0"/>
                <w:numId w:val="34"/>
              </w:numPr>
            </w:pPr>
            <w:r w:rsidRPr="00E5732B">
              <w:t>Estimate amount of prospective clinical research the department is conducting:</w:t>
            </w:r>
          </w:p>
          <w:p w14:paraId="4164CDA6" w14:textId="4CDFF37E" w:rsidR="00E5732B" w:rsidRPr="00E5732B" w:rsidRDefault="00E5732B" w:rsidP="00E5732B">
            <w:pPr>
              <w:pStyle w:val="ListParagraph"/>
              <w:numPr>
                <w:ilvl w:val="1"/>
                <w:numId w:val="34"/>
              </w:numPr>
            </w:pPr>
            <w:r w:rsidRPr="00E5732B">
              <w:t xml:space="preserve">Non-funded </w:t>
            </w:r>
            <w:r w:rsidR="007A5E25">
              <w:t>Investigator Initiated Trials (</w:t>
            </w:r>
            <w:r w:rsidRPr="00E5732B">
              <w:t>IITs</w:t>
            </w:r>
            <w:r w:rsidR="007A5E25">
              <w:t>)</w:t>
            </w:r>
          </w:p>
          <w:p w14:paraId="53324041" w14:textId="77777777" w:rsidR="00E5732B" w:rsidRPr="00E5732B" w:rsidRDefault="00E5732B" w:rsidP="00E5732B">
            <w:pPr>
              <w:pStyle w:val="ListParagraph"/>
              <w:numPr>
                <w:ilvl w:val="1"/>
                <w:numId w:val="34"/>
              </w:numPr>
            </w:pPr>
            <w:r w:rsidRPr="00E5732B">
              <w:t>NIH and other government-funded research</w:t>
            </w:r>
          </w:p>
          <w:p w14:paraId="49D7ED7B" w14:textId="77777777" w:rsidR="00E5732B" w:rsidRDefault="00E5732B" w:rsidP="00E5732B">
            <w:pPr>
              <w:pStyle w:val="ListParagraph"/>
              <w:numPr>
                <w:ilvl w:val="1"/>
                <w:numId w:val="34"/>
              </w:numPr>
            </w:pPr>
            <w:r w:rsidRPr="00E5732B">
              <w:t>Industry-sponsored research</w:t>
            </w:r>
          </w:p>
        </w:tc>
      </w:tr>
      <w:tr w:rsidR="00E5732B" w:rsidRPr="006C1BD5" w14:paraId="667516C1" w14:textId="77777777" w:rsidTr="00E5732B">
        <w:trPr>
          <w:trHeight w:val="576"/>
        </w:trPr>
        <w:tc>
          <w:tcPr>
            <w:tcW w:w="5000" w:type="pct"/>
            <w:vAlign w:val="center"/>
          </w:tcPr>
          <w:p w14:paraId="52C6F6CE" w14:textId="77777777" w:rsidR="00E5732B" w:rsidRDefault="00E5732B" w:rsidP="00E5732B">
            <w:pPr>
              <w:pStyle w:val="ListParagraph"/>
              <w:ind w:left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Notes:</w:t>
            </w:r>
          </w:p>
          <w:p w14:paraId="35F72C8E" w14:textId="77777777" w:rsidR="00B863A8" w:rsidRPr="00E5732B" w:rsidRDefault="00B863A8" w:rsidP="00E5732B">
            <w:pPr>
              <w:pStyle w:val="ListParagraph"/>
              <w:ind w:left="0"/>
              <w:rPr>
                <w:color w:val="A6A6A6" w:themeColor="background1" w:themeShade="A6"/>
              </w:rPr>
            </w:pPr>
          </w:p>
        </w:tc>
      </w:tr>
      <w:tr w:rsidR="00E5732B" w14:paraId="0CC314B0" w14:textId="77777777" w:rsidTr="00E5732B">
        <w:trPr>
          <w:trHeight w:val="360"/>
        </w:trPr>
        <w:tc>
          <w:tcPr>
            <w:tcW w:w="5000" w:type="pct"/>
            <w:vAlign w:val="center"/>
          </w:tcPr>
          <w:p w14:paraId="34F6DBC8" w14:textId="77777777" w:rsidR="00E5732B" w:rsidRDefault="00B12FF1" w:rsidP="00B12FF1">
            <w:pPr>
              <w:pStyle w:val="ListParagraph"/>
              <w:numPr>
                <w:ilvl w:val="0"/>
                <w:numId w:val="34"/>
              </w:numPr>
            </w:pPr>
            <w:r w:rsidRPr="00B12FF1">
              <w:t>Estimate how many CRUs you will eventually need</w:t>
            </w:r>
          </w:p>
          <w:p w14:paraId="7D5A502F" w14:textId="77777777" w:rsidR="00946F59" w:rsidRPr="00EE40E1" w:rsidRDefault="00946F59" w:rsidP="00946F59">
            <w:pPr>
              <w:pStyle w:val="ListParagraph"/>
              <w:numPr>
                <w:ilvl w:val="1"/>
                <w:numId w:val="34"/>
              </w:numPr>
            </w:pPr>
            <w:r>
              <w:t>You would probably start with just one or two and add more once you gain experience, but good to have an initial estimate</w:t>
            </w:r>
          </w:p>
        </w:tc>
      </w:tr>
      <w:tr w:rsidR="00B12FF1" w14:paraId="1EDC1409" w14:textId="77777777" w:rsidTr="00E5732B">
        <w:trPr>
          <w:trHeight w:val="360"/>
        </w:trPr>
        <w:tc>
          <w:tcPr>
            <w:tcW w:w="5000" w:type="pct"/>
            <w:vAlign w:val="center"/>
          </w:tcPr>
          <w:p w14:paraId="32FD4FEC" w14:textId="77777777" w:rsidR="00B12FF1" w:rsidRDefault="00B12FF1" w:rsidP="00B12FF1">
            <w:pPr>
              <w:pStyle w:val="ListParagraph"/>
              <w:ind w:left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Notes:</w:t>
            </w:r>
          </w:p>
          <w:p w14:paraId="3AEFDC1D" w14:textId="77777777" w:rsidR="00B863A8" w:rsidRPr="00B12FF1" w:rsidRDefault="00B863A8" w:rsidP="00B12FF1">
            <w:pPr>
              <w:pStyle w:val="ListParagraph"/>
              <w:ind w:left="0"/>
            </w:pPr>
          </w:p>
        </w:tc>
      </w:tr>
      <w:tr w:rsidR="00E5732B" w14:paraId="2AC03157" w14:textId="77777777" w:rsidTr="00E5732B">
        <w:trPr>
          <w:trHeight w:val="360"/>
        </w:trPr>
        <w:tc>
          <w:tcPr>
            <w:tcW w:w="5000" w:type="pct"/>
            <w:vAlign w:val="center"/>
          </w:tcPr>
          <w:p w14:paraId="7BF96C64" w14:textId="77777777" w:rsidR="00E5732B" w:rsidRPr="00EE40E1" w:rsidRDefault="00B12FF1" w:rsidP="00B12FF1">
            <w:pPr>
              <w:pStyle w:val="ListParagraph"/>
              <w:numPr>
                <w:ilvl w:val="0"/>
                <w:numId w:val="34"/>
              </w:numPr>
            </w:pPr>
            <w:r w:rsidRPr="00B12FF1">
              <w:t>Identify where you would like to start (e.g., a group that already has a structured review process)</w:t>
            </w:r>
          </w:p>
        </w:tc>
      </w:tr>
      <w:tr w:rsidR="00B12FF1" w14:paraId="01D8ECB0" w14:textId="77777777" w:rsidTr="00E5732B">
        <w:trPr>
          <w:trHeight w:val="360"/>
        </w:trPr>
        <w:tc>
          <w:tcPr>
            <w:tcW w:w="5000" w:type="pct"/>
            <w:vAlign w:val="center"/>
          </w:tcPr>
          <w:p w14:paraId="2A319792" w14:textId="77777777" w:rsidR="00B12FF1" w:rsidRDefault="00B12FF1" w:rsidP="00B12FF1">
            <w:pPr>
              <w:pStyle w:val="ListParagraph"/>
              <w:ind w:left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Notes:</w:t>
            </w:r>
          </w:p>
          <w:p w14:paraId="4B908206" w14:textId="77777777" w:rsidR="00B863A8" w:rsidRPr="00B12FF1" w:rsidRDefault="00B863A8" w:rsidP="00B12FF1">
            <w:pPr>
              <w:pStyle w:val="ListParagraph"/>
              <w:ind w:left="0"/>
            </w:pPr>
          </w:p>
        </w:tc>
      </w:tr>
      <w:tr w:rsidR="00E5732B" w14:paraId="6F8BEB43" w14:textId="77777777" w:rsidTr="00E5732B">
        <w:trPr>
          <w:trHeight w:val="360"/>
        </w:trPr>
        <w:tc>
          <w:tcPr>
            <w:tcW w:w="5000" w:type="pct"/>
            <w:vAlign w:val="center"/>
          </w:tcPr>
          <w:p w14:paraId="79FCBA81" w14:textId="77777777" w:rsidR="00E5732B" w:rsidRDefault="00B12FF1" w:rsidP="00B12FF1">
            <w:pPr>
              <w:pStyle w:val="ListParagraph"/>
              <w:numPr>
                <w:ilvl w:val="0"/>
                <w:numId w:val="34"/>
              </w:numPr>
            </w:pPr>
            <w:r w:rsidRPr="00B12FF1">
              <w:t>Expect an iterative process</w:t>
            </w:r>
          </w:p>
        </w:tc>
      </w:tr>
      <w:tr w:rsidR="00E5732B" w14:paraId="06966E98" w14:textId="77777777" w:rsidTr="00E5732B">
        <w:trPr>
          <w:trHeight w:val="360"/>
        </w:trPr>
        <w:tc>
          <w:tcPr>
            <w:tcW w:w="5000" w:type="pct"/>
            <w:vAlign w:val="center"/>
          </w:tcPr>
          <w:p w14:paraId="65CD589B" w14:textId="77777777" w:rsidR="00E5732B" w:rsidRDefault="00B12FF1" w:rsidP="00F3153F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Notes:</w:t>
            </w:r>
          </w:p>
          <w:p w14:paraId="11CD2879" w14:textId="77777777" w:rsidR="00B863A8" w:rsidRDefault="00B863A8" w:rsidP="00F3153F"/>
        </w:tc>
      </w:tr>
    </w:tbl>
    <w:p w14:paraId="541D7F61" w14:textId="77777777" w:rsidR="00B12FF1" w:rsidRDefault="00B12FF1"/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5"/>
        <w:gridCol w:w="5182"/>
        <w:gridCol w:w="3603"/>
      </w:tblGrid>
      <w:tr w:rsidR="007C42A8" w14:paraId="19DC8534" w14:textId="77777777" w:rsidTr="00FA7A52">
        <w:tc>
          <w:tcPr>
            <w:tcW w:w="9418" w:type="dxa"/>
            <w:gridSpan w:val="3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0AAC94FE" w14:textId="77777777" w:rsidR="007C42A8" w:rsidRDefault="007C42A8" w:rsidP="00080433">
            <w:pPr>
              <w:pStyle w:val="Heading2"/>
            </w:pPr>
            <w:r>
              <w:t>CHECKLIST</w:t>
            </w:r>
          </w:p>
        </w:tc>
      </w:tr>
      <w:tr w:rsidR="009B50FB" w14:paraId="5719D257" w14:textId="77777777" w:rsidTr="009B50FB">
        <w:tc>
          <w:tcPr>
            <w:tcW w:w="9418" w:type="dxa"/>
            <w:gridSpan w:val="3"/>
            <w:shd w:val="clear" w:color="auto" w:fill="EAF1DD" w:themeFill="accent3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3BEEE6D2" w14:textId="77777777" w:rsidR="009B50FB" w:rsidRDefault="009B50FB" w:rsidP="009B50FB">
            <w:pPr>
              <w:pStyle w:val="Heading2"/>
              <w:numPr>
                <w:ilvl w:val="0"/>
                <w:numId w:val="40"/>
              </w:numPr>
            </w:pPr>
            <w:bookmarkStart w:id="0" w:name="_Hlk75777422"/>
            <w:r>
              <w:t>Identify Personnel</w:t>
            </w:r>
          </w:p>
        </w:tc>
      </w:tr>
      <w:bookmarkStart w:id="1" w:name="_Hlk75776727"/>
      <w:bookmarkEnd w:id="0"/>
      <w:tr w:rsidR="007C42A8" w14:paraId="79AF9F0B" w14:textId="77777777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4A73B76" w14:textId="77777777"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055149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A0C7E6" w14:textId="77777777" w:rsidR="007C42A8" w:rsidRDefault="00B863A8" w:rsidP="00157CA0">
            <w:r>
              <w:t>Identify Faculty Lead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921BEF0" w14:textId="77777777" w:rsidR="007C42A8" w:rsidRPr="00CE1A72" w:rsidRDefault="00B863A8">
            <w:pPr>
              <w:rPr>
                <w:color w:val="808080" w:themeColor="background1" w:themeShade="80"/>
              </w:rPr>
            </w:pPr>
            <w:r w:rsidRPr="00CE1A72">
              <w:rPr>
                <w:color w:val="808080" w:themeColor="background1" w:themeShade="80"/>
              </w:rPr>
              <w:t>Experienced clinical researcher</w:t>
            </w:r>
          </w:p>
          <w:p w14:paraId="0EA6C4BF" w14:textId="77777777" w:rsidR="00B34CEC" w:rsidRPr="00CE1A72" w:rsidRDefault="00B34CEC">
            <w:pPr>
              <w:rPr>
                <w:color w:val="808080" w:themeColor="background1" w:themeShade="80"/>
              </w:rPr>
            </w:pPr>
            <w:r w:rsidRPr="00CE1A72">
              <w:rPr>
                <w:color w:val="808080" w:themeColor="background1" w:themeShade="80"/>
              </w:rPr>
              <w:t>Can be more than one</w:t>
            </w:r>
          </w:p>
          <w:p w14:paraId="2ED698C6" w14:textId="77777777" w:rsidR="00B34CEC" w:rsidRPr="00B863A8" w:rsidRDefault="00B34CEC">
            <w:pPr>
              <w:rPr>
                <w:color w:val="A6A6A6" w:themeColor="background1" w:themeShade="A6"/>
              </w:rPr>
            </w:pPr>
            <w:r w:rsidRPr="00CE1A72">
              <w:rPr>
                <w:color w:val="808080" w:themeColor="background1" w:themeShade="80"/>
              </w:rPr>
              <w:t>Can be on a rotational basis</w:t>
            </w:r>
          </w:p>
        </w:tc>
      </w:tr>
      <w:bookmarkEnd w:id="1"/>
      <w:tr w:rsidR="007C42A8" w14:paraId="28D6B4F1" w14:textId="77777777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1757543" w14:textId="77777777"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5149"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2206660" w14:textId="77777777" w:rsidR="007C42A8" w:rsidRDefault="00B34CEC" w:rsidP="00157CA0">
            <w:r>
              <w:t>Identify Operation</w:t>
            </w:r>
            <w:r w:rsidR="00CE0E5A">
              <w:t>s</w:t>
            </w:r>
            <w:r>
              <w:t xml:space="preserve"> Lead</w:t>
            </w:r>
            <w:r w:rsidR="007C42A8">
              <w:t xml:space="preserve"> 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0046550" w14:textId="77777777" w:rsidR="007C42A8" w:rsidRPr="00CE1A72" w:rsidRDefault="00B34CEC">
            <w:pPr>
              <w:rPr>
                <w:color w:val="808080" w:themeColor="background1" w:themeShade="80"/>
              </w:rPr>
            </w:pPr>
            <w:r w:rsidRPr="00CE1A72">
              <w:rPr>
                <w:color w:val="808080" w:themeColor="background1" w:themeShade="80"/>
              </w:rPr>
              <w:t>Experienced Stanford research professional</w:t>
            </w:r>
          </w:p>
          <w:p w14:paraId="23AF9265" w14:textId="77777777" w:rsidR="006664CA" w:rsidRDefault="009B50FB">
            <w:pPr>
              <w:rPr>
                <w:color w:val="808080" w:themeColor="background1" w:themeShade="80"/>
              </w:rPr>
            </w:pPr>
            <w:r w:rsidRPr="00CE1A72">
              <w:rPr>
                <w:color w:val="808080" w:themeColor="background1" w:themeShade="80"/>
              </w:rPr>
              <w:t xml:space="preserve">Each CRU should have its own Operations Reviewer, who may be different than the Lead if there </w:t>
            </w:r>
            <w:r w:rsidR="007D0E6D">
              <w:rPr>
                <w:color w:val="808080" w:themeColor="background1" w:themeShade="80"/>
              </w:rPr>
              <w:t>are more than one or two CRUs.</w:t>
            </w:r>
          </w:p>
          <w:p w14:paraId="218FE87D" w14:textId="77777777" w:rsidR="009B50FB" w:rsidRPr="00B34CEC" w:rsidRDefault="006664CA">
            <w:pPr>
              <w:rPr>
                <w:color w:val="A6A6A6" w:themeColor="background1" w:themeShade="A6"/>
              </w:rPr>
            </w:pPr>
            <w:r>
              <w:rPr>
                <w:color w:val="808080" w:themeColor="background1" w:themeShade="80"/>
              </w:rPr>
              <w:t xml:space="preserve">Spectrum CRU can provide job descriptions, if relevant. </w:t>
            </w:r>
          </w:p>
        </w:tc>
      </w:tr>
      <w:tr w:rsidR="007C42A8" w14:paraId="71592DA9" w14:textId="77777777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FE83780" w14:textId="77777777"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5149"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80759C3" w14:textId="77777777" w:rsidR="007C42A8" w:rsidRDefault="00B34CEC" w:rsidP="007C42A8">
            <w:r>
              <w:t>Identify the Scientific Reviewer Pool</w:t>
            </w:r>
          </w:p>
          <w:p w14:paraId="1AA5FAF3" w14:textId="6302D24B" w:rsidR="00CE2508" w:rsidRDefault="00875182" w:rsidP="007C42A8">
            <w:r>
              <w:t>(CRU will either complete scientific review or submit study to SoM Scientific Review Committee)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C9900C2" w14:textId="77777777" w:rsidR="00B34CEC" w:rsidRPr="00CE1A72" w:rsidRDefault="00B34CEC" w:rsidP="00157CA0">
            <w:pPr>
              <w:rPr>
                <w:color w:val="808080" w:themeColor="background1" w:themeShade="80"/>
              </w:rPr>
            </w:pPr>
            <w:r w:rsidRPr="00CE1A72">
              <w:rPr>
                <w:color w:val="808080" w:themeColor="background1" w:themeShade="80"/>
              </w:rPr>
              <w:t>These should be all Investigator</w:t>
            </w:r>
            <w:r w:rsidR="009B50FB" w:rsidRPr="00CE1A72">
              <w:rPr>
                <w:color w:val="808080" w:themeColor="background1" w:themeShade="80"/>
              </w:rPr>
              <w:t>s</w:t>
            </w:r>
            <w:r w:rsidRPr="00CE1A72">
              <w:rPr>
                <w:color w:val="808080" w:themeColor="background1" w:themeShade="80"/>
              </w:rPr>
              <w:t xml:space="preserve"> involved in related or relevant research. </w:t>
            </w:r>
          </w:p>
          <w:p w14:paraId="44BF136E" w14:textId="77777777" w:rsidR="00FA7A52" w:rsidRPr="00B34CEC" w:rsidRDefault="00B34CEC" w:rsidP="00157CA0">
            <w:pPr>
              <w:rPr>
                <w:color w:val="A6A6A6" w:themeColor="background1" w:themeShade="A6"/>
              </w:rPr>
            </w:pPr>
            <w:r w:rsidRPr="00CE1A72">
              <w:rPr>
                <w:color w:val="808080" w:themeColor="background1" w:themeShade="80"/>
              </w:rPr>
              <w:t>Consider differentiating between and pairing senior and junior reviewers as an additional training opportunity</w:t>
            </w:r>
            <w:r w:rsidR="009B50FB" w:rsidRPr="00CE1A72">
              <w:rPr>
                <w:color w:val="808080" w:themeColor="background1" w:themeShade="80"/>
              </w:rPr>
              <w:t>.</w:t>
            </w:r>
          </w:p>
        </w:tc>
      </w:tr>
      <w:tr w:rsidR="007C42A8" w14:paraId="0EDB7C87" w14:textId="77777777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539B046" w14:textId="77777777"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5149"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12C14EC" w14:textId="77777777" w:rsidR="007C42A8" w:rsidRDefault="009B50FB">
            <w:r>
              <w:t>Identify Biostatistician(s)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32B4AA5" w14:textId="00686D96" w:rsidR="007C42A8" w:rsidRDefault="007A5E25" w:rsidP="00157CA0">
            <w:r w:rsidRPr="00F53025">
              <w:rPr>
                <w:color w:val="808080" w:themeColor="background1" w:themeShade="80"/>
              </w:rPr>
              <w:t>As needed</w:t>
            </w:r>
          </w:p>
        </w:tc>
      </w:tr>
      <w:tr w:rsidR="007C42A8" w14:paraId="3F6EA630" w14:textId="77777777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544FFB1" w14:textId="77777777"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5149"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311E911" w14:textId="77777777" w:rsidR="007C42A8" w:rsidRDefault="009B50FB">
            <w:r>
              <w:t xml:space="preserve">Identify </w:t>
            </w:r>
            <w:r w:rsidR="00CE1A72">
              <w:t>Finance reviewer(s)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126FAC2" w14:textId="6DD54E2B" w:rsidR="007C42A8" w:rsidRPr="00CE1A72" w:rsidRDefault="007A5E25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As needed</w:t>
            </w:r>
          </w:p>
        </w:tc>
      </w:tr>
      <w:tr w:rsidR="00CE1A72" w14:paraId="452796AE" w14:textId="77777777" w:rsidTr="005339DF">
        <w:tc>
          <w:tcPr>
            <w:tcW w:w="9418" w:type="dxa"/>
            <w:gridSpan w:val="3"/>
            <w:shd w:val="clear" w:color="auto" w:fill="EAF1DD" w:themeFill="accent3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EA64BE" w14:textId="77777777" w:rsidR="00CE1A72" w:rsidRDefault="00D56684" w:rsidP="005339DF">
            <w:pPr>
              <w:pStyle w:val="Heading2"/>
              <w:numPr>
                <w:ilvl w:val="0"/>
                <w:numId w:val="40"/>
              </w:numPr>
            </w:pPr>
            <w:bookmarkStart w:id="3" w:name="_Hlk75780806"/>
            <w:r>
              <w:t>Communications</w:t>
            </w:r>
          </w:p>
        </w:tc>
      </w:tr>
      <w:bookmarkEnd w:id="3"/>
      <w:tr w:rsidR="007C42A8" w14:paraId="7440BC6B" w14:textId="77777777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ACC59E5" w14:textId="77777777"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5149"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CA16103" w14:textId="77777777" w:rsidR="007C42A8" w:rsidRDefault="00D56684">
            <w:r>
              <w:t>Department leadership engages with identified personnel and research team</w:t>
            </w:r>
            <w:r w:rsidR="00CE0E5A">
              <w:t>s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137A1E" w14:textId="6C523312" w:rsidR="007C42A8" w:rsidRPr="00D56684" w:rsidRDefault="007A5E25" w:rsidP="00157CA0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Provide department/division level communication introducing CRU initiative</w:t>
            </w:r>
          </w:p>
        </w:tc>
      </w:tr>
      <w:tr w:rsidR="00FA7A52" w14:paraId="37378A32" w14:textId="77777777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28947CF" w14:textId="77777777"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5149"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794C29E" w14:textId="77777777" w:rsidR="00FA7A52" w:rsidRDefault="00CE0E5A" w:rsidP="007C42A8">
            <w:r>
              <w:t xml:space="preserve">Operations Lead </w:t>
            </w:r>
            <w:r w:rsidR="00196A12">
              <w:t>contact OnCore Support to setup CRU in OnCore ePRMS committee management</w:t>
            </w:r>
          </w:p>
          <w:p w14:paraId="40FAE8F6" w14:textId="77777777" w:rsidR="00196A12" w:rsidRDefault="00196A12" w:rsidP="00196A12">
            <w:pPr>
              <w:pStyle w:val="ListParagraph"/>
              <w:numPr>
                <w:ilvl w:val="0"/>
                <w:numId w:val="41"/>
              </w:numPr>
            </w:pPr>
            <w:r>
              <w:t xml:space="preserve">Schedule </w:t>
            </w:r>
            <w:hyperlink r:id="rId10" w:history="1">
              <w:r w:rsidRPr="00196A12">
                <w:rPr>
                  <w:rStyle w:val="Hyperlink"/>
                </w:rPr>
                <w:t>training on using ePRMS</w:t>
              </w:r>
            </w:hyperlink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C7FCBB" w14:textId="77777777" w:rsidR="00FA7A52" w:rsidRPr="00196A12" w:rsidRDefault="00196A12" w:rsidP="00FA7A5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While use of the ePRMS is not mandatory, it is strongly recommended, as it supports a clear CRU review process and compliance with the </w:t>
            </w:r>
            <w:hyperlink r:id="rId11" w:history="1">
              <w:r w:rsidRPr="00196A12">
                <w:rPr>
                  <w:rStyle w:val="Hyperlink"/>
                </w:rPr>
                <w:t>SoM Policy on Using OnCore</w:t>
              </w:r>
            </w:hyperlink>
          </w:p>
        </w:tc>
      </w:tr>
      <w:tr w:rsidR="00FA7A52" w14:paraId="7311D55C" w14:textId="77777777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8BD682B" w14:textId="77777777"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5149"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5228D1" w14:textId="77777777" w:rsidR="006664CA" w:rsidRDefault="00196A12" w:rsidP="006664CA">
            <w:r>
              <w:t>Operations</w:t>
            </w:r>
            <w:r w:rsidR="006664CA">
              <w:t xml:space="preserve"> and Faculty</w:t>
            </w:r>
            <w:r>
              <w:t xml:space="preserve"> Lead contact Spectrum CRU for </w:t>
            </w:r>
            <w:r w:rsidR="006664CA">
              <w:t>g</w:t>
            </w:r>
            <w:r>
              <w:t>uidance</w:t>
            </w:r>
            <w:r w:rsidR="006664CA">
              <w:t>, templates, and training (meetings and materials)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BF4A2AE" w14:textId="77777777" w:rsidR="00FA7A52" w:rsidRPr="006664CA" w:rsidRDefault="006664CA" w:rsidP="00157CA0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Spectrum CRU can </w:t>
            </w:r>
            <w:r w:rsidR="007D0E6D">
              <w:rPr>
                <w:color w:val="808080" w:themeColor="background1" w:themeShade="80"/>
              </w:rPr>
              <w:t xml:space="preserve">also </w:t>
            </w:r>
            <w:r>
              <w:rPr>
                <w:color w:val="808080" w:themeColor="background1" w:themeShade="80"/>
              </w:rPr>
              <w:t>connect you with other CRU leads to share experiences and lessons learned</w:t>
            </w:r>
          </w:p>
        </w:tc>
      </w:tr>
      <w:tr w:rsidR="006664CA" w14:paraId="59003003" w14:textId="77777777" w:rsidTr="005339DF">
        <w:tc>
          <w:tcPr>
            <w:tcW w:w="9418" w:type="dxa"/>
            <w:gridSpan w:val="3"/>
            <w:shd w:val="clear" w:color="auto" w:fill="EAF1DD" w:themeFill="accent3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0E3316D9" w14:textId="77777777" w:rsidR="006664CA" w:rsidRDefault="006664CA" w:rsidP="005339DF">
            <w:pPr>
              <w:pStyle w:val="Heading2"/>
              <w:numPr>
                <w:ilvl w:val="0"/>
                <w:numId w:val="40"/>
              </w:numPr>
            </w:pPr>
            <w:bookmarkStart w:id="4" w:name="_Hlk75782353"/>
            <w:r>
              <w:t>Internal Review and decisions</w:t>
            </w:r>
          </w:p>
        </w:tc>
      </w:tr>
      <w:bookmarkEnd w:id="4"/>
      <w:tr w:rsidR="00FA7A52" w14:paraId="0BF6A313" w14:textId="77777777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73ED13B" w14:textId="77777777"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5149"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FEDC516" w14:textId="592B1778" w:rsidR="00FA7A52" w:rsidRDefault="006664CA" w:rsidP="007C42A8">
            <w:r>
              <w:t xml:space="preserve">Within your selected CRU team, review </w:t>
            </w:r>
            <w:r w:rsidR="007A5E25">
              <w:t>S</w:t>
            </w:r>
            <w:r>
              <w:t>pectrum process templates and merge, as appropriate, with existing processes in the Department/Division/Group</w:t>
            </w:r>
            <w:r w:rsidR="00FA7A52">
              <w:t xml:space="preserve"> 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FAEB230" w14:textId="77777777" w:rsidR="00FA7A52" w:rsidRPr="006664CA" w:rsidRDefault="006664CA" w:rsidP="00157CA0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</w:t>
            </w:r>
            <w:r w:rsidRPr="006664CA">
              <w:rPr>
                <w:color w:val="808080" w:themeColor="background1" w:themeShade="80"/>
              </w:rPr>
              <w:t>xpect a learning period and several adjustments to tools and processes along the way</w:t>
            </w:r>
          </w:p>
        </w:tc>
      </w:tr>
      <w:tr w:rsidR="00FA7A52" w14:paraId="1BA78D35" w14:textId="77777777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FDAB5E5" w14:textId="77777777"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5149"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480C930" w14:textId="77777777" w:rsidR="00FA7A52" w:rsidRDefault="00946F59" w:rsidP="007C42A8">
            <w:r>
              <w:t>Decide on CRU review cadence and process</w:t>
            </w:r>
          </w:p>
          <w:p w14:paraId="6BB31CB6" w14:textId="77777777" w:rsidR="00946F59" w:rsidRDefault="00946F59" w:rsidP="00946F59">
            <w:pPr>
              <w:pStyle w:val="ListParagraph"/>
              <w:numPr>
                <w:ilvl w:val="0"/>
                <w:numId w:val="41"/>
              </w:numPr>
            </w:pPr>
            <w:r>
              <w:t xml:space="preserve">Consider differentiating between a </w:t>
            </w:r>
            <w:r w:rsidRPr="00946F59">
              <w:rPr>
                <w:b/>
              </w:rPr>
              <w:t>Full Review</w:t>
            </w:r>
            <w:r>
              <w:t xml:space="preserve"> (for Unfunded Investigator Initiated Trials) and an </w:t>
            </w:r>
            <w:r w:rsidRPr="00946F59">
              <w:rPr>
                <w:b/>
              </w:rPr>
              <w:t>Expedited Review</w:t>
            </w:r>
            <w:r>
              <w:t xml:space="preserve"> (for NIH-funded, Industry-Sponsored, and Registries)</w:t>
            </w:r>
          </w:p>
          <w:p w14:paraId="51616FFF" w14:textId="77777777" w:rsidR="00282C0E" w:rsidRDefault="00282C0E" w:rsidP="00946F59">
            <w:pPr>
              <w:pStyle w:val="ListParagraph"/>
              <w:numPr>
                <w:ilvl w:val="0"/>
                <w:numId w:val="41"/>
              </w:numPr>
            </w:pPr>
            <w:r>
              <w:t>See Figure 1 Below for an example CRU Review Workflow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2126979" w14:textId="77777777" w:rsidR="00FA7A52" w:rsidRDefault="00946F59" w:rsidP="00FA7A5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A Full Review can involve all reviewers, </w:t>
            </w:r>
            <w:r w:rsidR="00282C0E">
              <w:rPr>
                <w:color w:val="808080" w:themeColor="background1" w:themeShade="80"/>
              </w:rPr>
              <w:t>involve the full scope of review criteria, occur only monthly, and require a scheduled meeting.</w:t>
            </w:r>
          </w:p>
          <w:p w14:paraId="376506A6" w14:textId="77777777" w:rsidR="00282C0E" w:rsidRDefault="00282C0E" w:rsidP="00FA7A5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An expedited Review can involve limited reviewers, involved a limited scope of review criteria, occur at an increased frequency and via email.</w:t>
            </w:r>
          </w:p>
          <w:p w14:paraId="39BCD0EB" w14:textId="05A7B986" w:rsidR="00282C0E" w:rsidRPr="00946F59" w:rsidRDefault="00282C0E" w:rsidP="00FA7A5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For NIH-funded research, a full review</w:t>
            </w:r>
            <w:r w:rsidR="007A5E25">
              <w:rPr>
                <w:color w:val="808080" w:themeColor="background1" w:themeShade="80"/>
              </w:rPr>
              <w:t xml:space="preserve"> may be offered</w:t>
            </w:r>
            <w:r>
              <w:rPr>
                <w:color w:val="808080" w:themeColor="background1" w:themeShade="80"/>
              </w:rPr>
              <w:t xml:space="preserve"> as a bonus to investigators – </w:t>
            </w:r>
            <w:r w:rsidR="007A5E25">
              <w:rPr>
                <w:color w:val="808080" w:themeColor="background1" w:themeShade="80"/>
              </w:rPr>
              <w:t>providing</w:t>
            </w:r>
            <w:r>
              <w:rPr>
                <w:color w:val="808080" w:themeColor="background1" w:themeShade="80"/>
              </w:rPr>
              <w:t xml:space="preserve"> additional internal scientific review and input prior to submitting the grant application.</w:t>
            </w:r>
          </w:p>
        </w:tc>
      </w:tr>
      <w:tr w:rsidR="00865527" w14:paraId="20508D78" w14:textId="77777777" w:rsidTr="005339DF">
        <w:tc>
          <w:tcPr>
            <w:tcW w:w="9418" w:type="dxa"/>
            <w:gridSpan w:val="3"/>
            <w:shd w:val="clear" w:color="auto" w:fill="EAF1DD" w:themeFill="accent3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05E0E8D3" w14:textId="77777777" w:rsidR="00865527" w:rsidRDefault="00865527" w:rsidP="005339DF">
            <w:pPr>
              <w:pStyle w:val="Heading2"/>
              <w:numPr>
                <w:ilvl w:val="0"/>
                <w:numId w:val="40"/>
              </w:numPr>
            </w:pPr>
            <w:r>
              <w:t xml:space="preserve">implement CRU Process </w:t>
            </w:r>
          </w:p>
        </w:tc>
      </w:tr>
      <w:bookmarkStart w:id="5" w:name="_Hlk75782786"/>
      <w:tr w:rsidR="00FA7A52" w14:paraId="7C973D47" w14:textId="77777777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D4FEB84" w14:textId="77777777"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5149"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E0B0644" w14:textId="6FD45273" w:rsidR="00FA7A52" w:rsidRDefault="00865527" w:rsidP="007C42A8">
            <w:r>
              <w:t xml:space="preserve">Start with one or two CRUs 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7FC13FA" w14:textId="77777777" w:rsidR="00FA7A52" w:rsidRDefault="00FA7A52" w:rsidP="00157CA0"/>
        </w:tc>
      </w:tr>
      <w:bookmarkEnd w:id="5"/>
      <w:tr w:rsidR="00FA7A52" w14:paraId="6802D168" w14:textId="77777777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116B65E" w14:textId="77777777"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5149"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F5F0B70" w14:textId="126DB81B" w:rsidR="00FA7A52" w:rsidRDefault="00865527" w:rsidP="007C42A8">
            <w:r>
              <w:t xml:space="preserve">CRU </w:t>
            </w:r>
            <w:r w:rsidR="0098518F">
              <w:t xml:space="preserve">will </w:t>
            </w:r>
            <w:proofErr w:type="gramStart"/>
            <w:r w:rsidR="0098518F">
              <w:t>r</w:t>
            </w:r>
            <w:r>
              <w:t>eviewed</w:t>
            </w:r>
            <w:proofErr w:type="gramEnd"/>
            <w:r>
              <w:t xml:space="preserve"> for:</w:t>
            </w:r>
          </w:p>
          <w:p w14:paraId="2C46B8FB" w14:textId="2F43A091" w:rsidR="00865527" w:rsidRDefault="00865527" w:rsidP="00865527">
            <w:pPr>
              <w:pStyle w:val="ListParagraph"/>
              <w:numPr>
                <w:ilvl w:val="0"/>
                <w:numId w:val="42"/>
              </w:numPr>
            </w:pPr>
            <w:r>
              <w:t>Scientific validity</w:t>
            </w:r>
            <w:r w:rsidR="00CE2508">
              <w:t xml:space="preserve"> (may be reviewed at SoM level)</w:t>
            </w:r>
          </w:p>
          <w:p w14:paraId="3033413D" w14:textId="77777777" w:rsidR="00865527" w:rsidRDefault="00865527" w:rsidP="00865527">
            <w:pPr>
              <w:pStyle w:val="ListParagraph"/>
              <w:numPr>
                <w:ilvl w:val="0"/>
                <w:numId w:val="42"/>
              </w:numPr>
            </w:pPr>
            <w:r>
              <w:t>Financial sustainability</w:t>
            </w:r>
          </w:p>
          <w:p w14:paraId="395A82A6" w14:textId="71577B2F" w:rsidR="00865527" w:rsidRDefault="00865527" w:rsidP="00865527">
            <w:pPr>
              <w:pStyle w:val="ListParagraph"/>
              <w:numPr>
                <w:ilvl w:val="0"/>
                <w:numId w:val="42"/>
              </w:numPr>
            </w:pPr>
            <w:r>
              <w:t>Operational (including recruitment) feasibility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052EAB3" w14:textId="77777777" w:rsidR="00FA7A52" w:rsidRDefault="00FA7A52" w:rsidP="00157CA0"/>
        </w:tc>
      </w:tr>
      <w:tr w:rsidR="00981937" w14:paraId="2944390C" w14:textId="77777777" w:rsidTr="005339DF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F2870B3" w14:textId="77777777" w:rsidR="00981937" w:rsidRDefault="00981937" w:rsidP="005339D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5149"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D786EC6" w14:textId="77777777" w:rsidR="00981937" w:rsidRDefault="00981937" w:rsidP="005339DF">
            <w:r>
              <w:t>Adjust process per internal feedback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03E8369" w14:textId="77777777" w:rsidR="00981937" w:rsidRDefault="00981937" w:rsidP="005339DF"/>
        </w:tc>
      </w:tr>
      <w:tr w:rsidR="00FA7A52" w14:paraId="27BDDED8" w14:textId="77777777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4D5C66" w14:textId="77777777" w:rsidR="00FA7A52" w:rsidRDefault="00FA7A52" w:rsidP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5149"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7DE8321" w14:textId="77777777" w:rsidR="00FA7A52" w:rsidRDefault="00865527" w:rsidP="007C42A8">
            <w:r>
              <w:t>Expand review to every new prospective clinical research study in scope of the CRU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E596D2A" w14:textId="77777777" w:rsidR="00FA7A52" w:rsidRDefault="00FA7A52" w:rsidP="00157CA0"/>
        </w:tc>
      </w:tr>
      <w:bookmarkStart w:id="6" w:name="_Hlk75847171"/>
      <w:tr w:rsidR="00981937" w14:paraId="61E8345B" w14:textId="77777777" w:rsidTr="005339DF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1ABE3D" w14:textId="77777777" w:rsidR="00981937" w:rsidRDefault="00981937" w:rsidP="005339D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5149"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F0105B9" w14:textId="77777777" w:rsidR="00981937" w:rsidRDefault="00981937" w:rsidP="005339DF">
            <w:r>
              <w:t>Adjust process per internal feedback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4562B2" w14:textId="77777777" w:rsidR="00981937" w:rsidRDefault="00981937" w:rsidP="005339DF"/>
        </w:tc>
      </w:tr>
      <w:bookmarkEnd w:id="6"/>
      <w:tr w:rsidR="007D0E6D" w14:paraId="3909AFCD" w14:textId="77777777" w:rsidTr="005339DF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42D8444" w14:textId="77777777" w:rsidR="007D0E6D" w:rsidRDefault="007D0E6D" w:rsidP="005339D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5149"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137EC30" w14:textId="77777777" w:rsidR="007D0E6D" w:rsidRDefault="007D0E6D" w:rsidP="005339DF">
            <w:r>
              <w:t>Gradually add CRUs per initial plan and as appropriate for the department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6CABDA" w14:textId="77777777" w:rsidR="007D0E6D" w:rsidRDefault="007D0E6D" w:rsidP="005339DF"/>
        </w:tc>
      </w:tr>
      <w:tr w:rsidR="00865527" w14:paraId="6F1EB9FC" w14:textId="77777777" w:rsidTr="005339DF">
        <w:tc>
          <w:tcPr>
            <w:tcW w:w="9418" w:type="dxa"/>
            <w:gridSpan w:val="3"/>
            <w:shd w:val="clear" w:color="auto" w:fill="EAF1DD" w:themeFill="accent3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43AA161A" w14:textId="77777777" w:rsidR="00865527" w:rsidRDefault="00865527" w:rsidP="00865527">
            <w:pPr>
              <w:pStyle w:val="Heading2"/>
              <w:numPr>
                <w:ilvl w:val="0"/>
                <w:numId w:val="40"/>
              </w:numPr>
            </w:pPr>
            <w:r>
              <w:t>future steps</w:t>
            </w:r>
          </w:p>
        </w:tc>
      </w:tr>
      <w:tr w:rsidR="00FA7A52" w14:paraId="151D05FE" w14:textId="77777777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8D1F0E3" w14:textId="77777777"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5149"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912DD26" w14:textId="77777777" w:rsidR="00FA7A52" w:rsidRDefault="00865527" w:rsidP="007C42A8">
            <w:r>
              <w:t xml:space="preserve">Ongoing annual evaluation 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3BAECD8" w14:textId="77777777" w:rsidR="00FA7A52" w:rsidRPr="007D0E6D" w:rsidRDefault="007D0E6D" w:rsidP="00FA7A5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The scope for this is not yet final, but at a minimum review budget status and projections, as well as accrual.</w:t>
            </w:r>
          </w:p>
        </w:tc>
      </w:tr>
      <w:tr w:rsidR="00FA7A52" w14:paraId="38EA1747" w14:textId="77777777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57BADDA" w14:textId="77777777" w:rsidR="00FA7A52" w:rsidRDefault="0008043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5149"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4C95019" w14:textId="77777777" w:rsidR="00FA7A52" w:rsidRDefault="00865527" w:rsidP="007C42A8">
            <w:r>
              <w:t>Compliance review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A12A8FE" w14:textId="77777777" w:rsidR="00FA7A52" w:rsidRPr="007D0E6D" w:rsidRDefault="007D0E6D" w:rsidP="00157CA0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Scope TBD</w:t>
            </w:r>
          </w:p>
        </w:tc>
      </w:tr>
    </w:tbl>
    <w:p w14:paraId="078BD424" w14:textId="77777777" w:rsidR="00865527" w:rsidRDefault="00865527">
      <w:pPr>
        <w:spacing w:before="0" w:after="0"/>
      </w:pPr>
    </w:p>
    <w:p w14:paraId="1A561849" w14:textId="77777777" w:rsidR="00E534A1" w:rsidRDefault="00E534A1"/>
    <w:p w14:paraId="73EE6CA0" w14:textId="77777777" w:rsidR="00865527" w:rsidRDefault="00865527">
      <w:r>
        <w:t>Figure 1: Example CRU Review Workflow</w:t>
      </w:r>
      <w:r w:rsidR="006D1AD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CBC6CC" wp14:editId="4B966962">
                <wp:simplePos x="0" y="0"/>
                <wp:positionH relativeFrom="column">
                  <wp:posOffset>-76200</wp:posOffset>
                </wp:positionH>
                <wp:positionV relativeFrom="paragraph">
                  <wp:posOffset>156210</wp:posOffset>
                </wp:positionV>
                <wp:extent cx="6096000" cy="1860550"/>
                <wp:effectExtent l="0" t="0" r="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86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647FD" id="Rectangle 2" o:spid="_x0000_s1026" style="position:absolute;margin-left:-6pt;margin-top:12.3pt;width:480pt;height:1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" filled="f">
                <v:path arrowok="t"/>
              </v:rect>
            </w:pict>
          </mc:Fallback>
        </mc:AlternateContent>
      </w:r>
    </w:p>
    <w:p w14:paraId="1CCA3A9A" w14:textId="77777777" w:rsidR="00865527" w:rsidRDefault="00865527">
      <w:r>
        <w:rPr>
          <w:noProof/>
        </w:rPr>
        <w:drawing>
          <wp:inline distT="0" distB="0" distL="0" distR="0" wp14:anchorId="6455B64E" wp14:editId="473FC925">
            <wp:extent cx="5943600" cy="1835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6DED2" w14:textId="77777777" w:rsidR="006833B5" w:rsidRDefault="006833B5"/>
    <w:p w14:paraId="750ECC98" w14:textId="77777777" w:rsidR="006833B5" w:rsidRDefault="006833B5"/>
    <w:sectPr w:rsidR="006833B5" w:rsidSect="004345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9355A" w14:textId="77777777" w:rsidR="00055149" w:rsidRDefault="00055149">
      <w:r>
        <w:separator/>
      </w:r>
    </w:p>
  </w:endnote>
  <w:endnote w:type="continuationSeparator" w:id="0">
    <w:p w14:paraId="4F46AECF" w14:textId="77777777" w:rsidR="00055149" w:rsidRDefault="0005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E0AA" w14:textId="77777777" w:rsidR="001F0376" w:rsidRDefault="001F0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25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A33FF5" w14:textId="7BF145D0" w:rsidR="00FA7A52" w:rsidRDefault="002428F9" w:rsidP="00987F13">
            <w:pPr>
              <w:pStyle w:val="Footer"/>
              <w:jc w:val="right"/>
            </w:pPr>
            <w:r>
              <w:t>V</w:t>
            </w:r>
            <w:r w:rsidR="001F0376">
              <w:t>4</w:t>
            </w:r>
            <w:r>
              <w:t>_JU</w:t>
            </w:r>
            <w:r w:rsidR="001F0376">
              <w:t>LY</w:t>
            </w:r>
            <w:r>
              <w:t xml:space="preserve">2021 </w:t>
            </w:r>
            <w:r>
              <w:tab/>
            </w:r>
            <w:r>
              <w:tab/>
            </w:r>
            <w:r w:rsidR="007C3774">
              <w:t xml:space="preserve">Page </w:t>
            </w:r>
            <w:r w:rsidR="007C3774">
              <w:rPr>
                <w:b/>
                <w:bCs/>
                <w:sz w:val="24"/>
              </w:rPr>
              <w:fldChar w:fldCharType="begin"/>
            </w:r>
            <w:r w:rsidR="007C3774">
              <w:rPr>
                <w:b/>
                <w:bCs/>
              </w:rPr>
              <w:instrText xml:space="preserve"> PAGE </w:instrText>
            </w:r>
            <w:r w:rsidR="007C3774">
              <w:rPr>
                <w:b/>
                <w:bCs/>
                <w:sz w:val="24"/>
              </w:rPr>
              <w:fldChar w:fldCharType="separate"/>
            </w:r>
            <w:r w:rsidR="007C3774">
              <w:rPr>
                <w:b/>
                <w:bCs/>
                <w:noProof/>
              </w:rPr>
              <w:t>2</w:t>
            </w:r>
            <w:r w:rsidR="007C3774">
              <w:rPr>
                <w:b/>
                <w:bCs/>
                <w:sz w:val="24"/>
              </w:rPr>
              <w:fldChar w:fldCharType="end"/>
            </w:r>
            <w:r w:rsidR="007C3774">
              <w:t xml:space="preserve"> of </w:t>
            </w:r>
            <w:r w:rsidR="007C3774">
              <w:rPr>
                <w:b/>
                <w:bCs/>
                <w:sz w:val="24"/>
              </w:rPr>
              <w:fldChar w:fldCharType="begin"/>
            </w:r>
            <w:r w:rsidR="007C3774">
              <w:rPr>
                <w:b/>
                <w:bCs/>
              </w:rPr>
              <w:instrText xml:space="preserve"> NUMPAGES  </w:instrText>
            </w:r>
            <w:r w:rsidR="007C3774">
              <w:rPr>
                <w:b/>
                <w:bCs/>
                <w:sz w:val="24"/>
              </w:rPr>
              <w:fldChar w:fldCharType="separate"/>
            </w:r>
            <w:r w:rsidR="007C3774">
              <w:rPr>
                <w:b/>
                <w:bCs/>
                <w:noProof/>
              </w:rPr>
              <w:t>2</w:t>
            </w:r>
            <w:r w:rsidR="007C3774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0BF2" w14:textId="77777777" w:rsidR="001F0376" w:rsidRDefault="001F0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1273" w14:textId="77777777" w:rsidR="00055149" w:rsidRDefault="00055149">
      <w:r>
        <w:separator/>
      </w:r>
    </w:p>
  </w:footnote>
  <w:footnote w:type="continuationSeparator" w:id="0">
    <w:p w14:paraId="68388DA7" w14:textId="77777777" w:rsidR="00055149" w:rsidRDefault="0005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949C" w14:textId="77777777" w:rsidR="001F0376" w:rsidRDefault="001F03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5BFC" w14:textId="77777777" w:rsidR="00A73F02" w:rsidRDefault="00A73F02">
    <w:pPr>
      <w:pStyle w:val="Header"/>
    </w:pPr>
    <w:r>
      <w:rPr>
        <w:noProof/>
      </w:rPr>
      <w:drawing>
        <wp:inline distT="0" distB="0" distL="0" distR="0" wp14:anchorId="26DCB862" wp14:editId="7C9A3C33">
          <wp:extent cx="434340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34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6AA3EC" w14:textId="77777777" w:rsidR="00A73F02" w:rsidRDefault="00A73F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29A2" w14:textId="77777777" w:rsidR="001F0376" w:rsidRDefault="001F0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4890B6F"/>
    <w:multiLevelType w:val="hybridMultilevel"/>
    <w:tmpl w:val="8E3AB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4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F53FD3"/>
    <w:multiLevelType w:val="hybridMultilevel"/>
    <w:tmpl w:val="714CC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C31708"/>
    <w:multiLevelType w:val="hybridMultilevel"/>
    <w:tmpl w:val="96F60B2E"/>
    <w:lvl w:ilvl="0" w:tplc="17940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C27E68"/>
    <w:multiLevelType w:val="hybridMultilevel"/>
    <w:tmpl w:val="3E78E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A6764B"/>
    <w:multiLevelType w:val="hybridMultilevel"/>
    <w:tmpl w:val="F3E64398"/>
    <w:lvl w:ilvl="0" w:tplc="8064F8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A8EFC6">
      <w:start w:val="1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AA6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BC5C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C2A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A01E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6F8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86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B283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E6A46"/>
    <w:multiLevelType w:val="hybridMultilevel"/>
    <w:tmpl w:val="C862D5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2B1057"/>
    <w:multiLevelType w:val="hybridMultilevel"/>
    <w:tmpl w:val="167E5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125B6C"/>
    <w:multiLevelType w:val="hybridMultilevel"/>
    <w:tmpl w:val="2FBCC964"/>
    <w:lvl w:ilvl="0" w:tplc="882A22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0A7E26">
      <w:start w:val="1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0C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C40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BA63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C06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805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7094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8C99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550CF"/>
    <w:multiLevelType w:val="hybridMultilevel"/>
    <w:tmpl w:val="40709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0"/>
  </w:num>
  <w:num w:numId="3">
    <w:abstractNumId w:val="16"/>
  </w:num>
  <w:num w:numId="4">
    <w:abstractNumId w:val="15"/>
  </w:num>
  <w:num w:numId="5">
    <w:abstractNumId w:val="14"/>
  </w:num>
  <w:num w:numId="6">
    <w:abstractNumId w:val="29"/>
  </w:num>
  <w:num w:numId="7">
    <w:abstractNumId w:val="12"/>
  </w:num>
  <w:num w:numId="8">
    <w:abstractNumId w:val="37"/>
  </w:num>
  <w:num w:numId="9">
    <w:abstractNumId w:val="19"/>
  </w:num>
  <w:num w:numId="10">
    <w:abstractNumId w:val="27"/>
  </w:num>
  <w:num w:numId="11">
    <w:abstractNumId w:val="17"/>
  </w:num>
  <w:num w:numId="12">
    <w:abstractNumId w:val="33"/>
  </w:num>
  <w:num w:numId="13">
    <w:abstractNumId w:val="21"/>
  </w:num>
  <w:num w:numId="14">
    <w:abstractNumId w:val="18"/>
  </w:num>
  <w:num w:numId="15">
    <w:abstractNumId w:val="28"/>
  </w:num>
  <w:num w:numId="16">
    <w:abstractNumId w:val="30"/>
  </w:num>
  <w:num w:numId="17">
    <w:abstractNumId w:val="38"/>
  </w:num>
  <w:num w:numId="18">
    <w:abstractNumId w:val="26"/>
  </w:num>
  <w:num w:numId="19">
    <w:abstractNumId w:val="25"/>
  </w:num>
  <w:num w:numId="20">
    <w:abstractNumId w:val="39"/>
  </w:num>
  <w:num w:numId="21">
    <w:abstractNumId w:val="24"/>
  </w:num>
  <w:num w:numId="22">
    <w:abstractNumId w:val="13"/>
  </w:num>
  <w:num w:numId="23">
    <w:abstractNumId w:val="8"/>
  </w:num>
  <w:num w:numId="24">
    <w:abstractNumId w:val="2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41"/>
  </w:num>
  <w:num w:numId="35">
    <w:abstractNumId w:val="34"/>
  </w:num>
  <w:num w:numId="36">
    <w:abstractNumId w:val="11"/>
  </w:num>
  <w:num w:numId="37">
    <w:abstractNumId w:val="40"/>
  </w:num>
  <w:num w:numId="38">
    <w:abstractNumId w:val="35"/>
  </w:num>
  <w:num w:numId="39">
    <w:abstractNumId w:val="32"/>
  </w:num>
  <w:num w:numId="40">
    <w:abstractNumId w:val="23"/>
  </w:num>
  <w:num w:numId="41">
    <w:abstractNumId w:val="3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5B"/>
    <w:rsid w:val="00034557"/>
    <w:rsid w:val="00055149"/>
    <w:rsid w:val="00055625"/>
    <w:rsid w:val="00080058"/>
    <w:rsid w:val="00080433"/>
    <w:rsid w:val="00082F86"/>
    <w:rsid w:val="00086801"/>
    <w:rsid w:val="00090054"/>
    <w:rsid w:val="000D7D67"/>
    <w:rsid w:val="000E2420"/>
    <w:rsid w:val="000F3B2D"/>
    <w:rsid w:val="001001B1"/>
    <w:rsid w:val="001003E1"/>
    <w:rsid w:val="00125CCB"/>
    <w:rsid w:val="00137DF3"/>
    <w:rsid w:val="00157CA0"/>
    <w:rsid w:val="00172448"/>
    <w:rsid w:val="00196A12"/>
    <w:rsid w:val="001B5C06"/>
    <w:rsid w:val="001E3406"/>
    <w:rsid w:val="001F0376"/>
    <w:rsid w:val="002428F9"/>
    <w:rsid w:val="00251E12"/>
    <w:rsid w:val="00267DF9"/>
    <w:rsid w:val="00273345"/>
    <w:rsid w:val="00282C0E"/>
    <w:rsid w:val="002906E7"/>
    <w:rsid w:val="002A3F76"/>
    <w:rsid w:val="002D10CA"/>
    <w:rsid w:val="002F6283"/>
    <w:rsid w:val="00304F0A"/>
    <w:rsid w:val="003119FB"/>
    <w:rsid w:val="00311B83"/>
    <w:rsid w:val="0031256D"/>
    <w:rsid w:val="00320630"/>
    <w:rsid w:val="003444D6"/>
    <w:rsid w:val="003618B9"/>
    <w:rsid w:val="003761C5"/>
    <w:rsid w:val="003A1BC2"/>
    <w:rsid w:val="003F04D9"/>
    <w:rsid w:val="00407240"/>
    <w:rsid w:val="0041607A"/>
    <w:rsid w:val="0043454D"/>
    <w:rsid w:val="00454615"/>
    <w:rsid w:val="004567F4"/>
    <w:rsid w:val="00464875"/>
    <w:rsid w:val="0048031C"/>
    <w:rsid w:val="004B0AE9"/>
    <w:rsid w:val="004B1ED9"/>
    <w:rsid w:val="004E6F1D"/>
    <w:rsid w:val="00522532"/>
    <w:rsid w:val="00560949"/>
    <w:rsid w:val="00581A1A"/>
    <w:rsid w:val="005B46D8"/>
    <w:rsid w:val="005E29C8"/>
    <w:rsid w:val="00610858"/>
    <w:rsid w:val="006125E8"/>
    <w:rsid w:val="006238C8"/>
    <w:rsid w:val="00643BDC"/>
    <w:rsid w:val="006664CA"/>
    <w:rsid w:val="006833B5"/>
    <w:rsid w:val="00694B49"/>
    <w:rsid w:val="006C1BD5"/>
    <w:rsid w:val="006D1ADC"/>
    <w:rsid w:val="00754382"/>
    <w:rsid w:val="007765DD"/>
    <w:rsid w:val="00783035"/>
    <w:rsid w:val="0078313D"/>
    <w:rsid w:val="00795C10"/>
    <w:rsid w:val="00797844"/>
    <w:rsid w:val="007A3F38"/>
    <w:rsid w:val="007A5E25"/>
    <w:rsid w:val="007A6235"/>
    <w:rsid w:val="007C3774"/>
    <w:rsid w:val="007C42A8"/>
    <w:rsid w:val="007D0E6D"/>
    <w:rsid w:val="00824ADF"/>
    <w:rsid w:val="00830E62"/>
    <w:rsid w:val="00834456"/>
    <w:rsid w:val="00865527"/>
    <w:rsid w:val="00875182"/>
    <w:rsid w:val="008837B1"/>
    <w:rsid w:val="00891FD6"/>
    <w:rsid w:val="008A6DA1"/>
    <w:rsid w:val="009142CB"/>
    <w:rsid w:val="00946F59"/>
    <w:rsid w:val="0096077E"/>
    <w:rsid w:val="00970715"/>
    <w:rsid w:val="00980A6C"/>
    <w:rsid w:val="00981937"/>
    <w:rsid w:val="0098518F"/>
    <w:rsid w:val="00987F13"/>
    <w:rsid w:val="00995223"/>
    <w:rsid w:val="009A46B2"/>
    <w:rsid w:val="009B2759"/>
    <w:rsid w:val="009B50FB"/>
    <w:rsid w:val="009C0F7C"/>
    <w:rsid w:val="00A16DA1"/>
    <w:rsid w:val="00A45F9E"/>
    <w:rsid w:val="00A50321"/>
    <w:rsid w:val="00A51E9F"/>
    <w:rsid w:val="00A6436D"/>
    <w:rsid w:val="00A66252"/>
    <w:rsid w:val="00A73F02"/>
    <w:rsid w:val="00A90460"/>
    <w:rsid w:val="00B11EE0"/>
    <w:rsid w:val="00B12FF1"/>
    <w:rsid w:val="00B34CEC"/>
    <w:rsid w:val="00B6043C"/>
    <w:rsid w:val="00B67C5A"/>
    <w:rsid w:val="00B75A27"/>
    <w:rsid w:val="00B863A8"/>
    <w:rsid w:val="00B97760"/>
    <w:rsid w:val="00C16870"/>
    <w:rsid w:val="00C34FB6"/>
    <w:rsid w:val="00C36E89"/>
    <w:rsid w:val="00C4126C"/>
    <w:rsid w:val="00C45FDC"/>
    <w:rsid w:val="00CA1228"/>
    <w:rsid w:val="00CA3573"/>
    <w:rsid w:val="00CA5362"/>
    <w:rsid w:val="00CB47FD"/>
    <w:rsid w:val="00CC59BB"/>
    <w:rsid w:val="00CE0E5A"/>
    <w:rsid w:val="00CE1A72"/>
    <w:rsid w:val="00CE2508"/>
    <w:rsid w:val="00D36A80"/>
    <w:rsid w:val="00D56684"/>
    <w:rsid w:val="00D61C29"/>
    <w:rsid w:val="00D827D3"/>
    <w:rsid w:val="00DA21A2"/>
    <w:rsid w:val="00DB0C25"/>
    <w:rsid w:val="00DC155B"/>
    <w:rsid w:val="00DC19D6"/>
    <w:rsid w:val="00DE15F7"/>
    <w:rsid w:val="00DE5986"/>
    <w:rsid w:val="00E37280"/>
    <w:rsid w:val="00E41884"/>
    <w:rsid w:val="00E534A1"/>
    <w:rsid w:val="00E5732B"/>
    <w:rsid w:val="00E752A7"/>
    <w:rsid w:val="00EA3E64"/>
    <w:rsid w:val="00EE40E1"/>
    <w:rsid w:val="00F03B50"/>
    <w:rsid w:val="00F23FC2"/>
    <w:rsid w:val="00F27301"/>
    <w:rsid w:val="00F3153F"/>
    <w:rsid w:val="00F36D50"/>
    <w:rsid w:val="00F53025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6E802"/>
  <w15:docId w15:val="{3FF6EED5-9603-4953-B5C2-72C388EF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5527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E57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F0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73F02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A73F0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73F02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196A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A1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865527"/>
    <w:rPr>
      <w:rFonts w:asciiTheme="majorHAnsi" w:hAnsiTheme="majorHAnsi"/>
      <w:b/>
      <w:caps/>
      <w:szCs w:val="24"/>
    </w:rPr>
  </w:style>
  <w:style w:type="paragraph" w:styleId="Revision">
    <w:name w:val="Revision"/>
    <w:hidden/>
    <w:uiPriority w:val="99"/>
    <w:semiHidden/>
    <w:rsid w:val="00DC19D6"/>
    <w:rPr>
      <w:rFonts w:asciiTheme="minorHAnsi" w:hAnsiTheme="minorHAnsi"/>
      <w:sz w:val="18"/>
      <w:szCs w:val="24"/>
    </w:rPr>
  </w:style>
  <w:style w:type="character" w:styleId="FollowedHyperlink">
    <w:name w:val="FollowedHyperlink"/>
    <w:basedOn w:val="DefaultParagraphFont"/>
    <w:semiHidden/>
    <w:unhideWhenUsed/>
    <w:rsid w:val="00CA5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997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226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694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191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657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2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58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688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319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875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anfordmedicine.box.com/s/4fbvzu8c2mscor5binjhp0g5bgn388l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tanfordmedicine.app.box.com/s/tdrxkimckujivrl5utwdx437bijf3gpz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ab2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730497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2011-12-21T21:24:00+00:00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1386857</Value>
      <Value>1386858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New company setup checklist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TP102806454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702033AB-1839-4A9D-9AAE-1CDA6F1A1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747F8-0E03-4AD0-AA0D-9B70695AF5C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C:\Users\mayab2\AppData\Roaming\Microsoft\Templates\New company setup checklist.dotx</Template>
  <TotalTime>0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IRTAdmin</dc:creator>
  <cp:lastModifiedBy>Peg Tsao</cp:lastModifiedBy>
  <cp:revision>2</cp:revision>
  <cp:lastPrinted>2005-08-26T17:15:00Z</cp:lastPrinted>
  <dcterms:created xsi:type="dcterms:W3CDTF">2021-07-21T23:42:00Z</dcterms:created>
  <dcterms:modified xsi:type="dcterms:W3CDTF">2021-07-21T23:42:00Z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