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&lt;&lt;EDUCATORS: FEEL FREE TO ADD YOUR LETTERHEAD&gt;&gt;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&lt;&lt;Today’s Date&gt;&gt;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Dear Parent or Caregiver,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 you probably know, adolescents’ use of drugs such as alcohol, tobacco, cannabis, opioids including </w:t>
      </w:r>
      <w:r w:rsidDel="00000000" w:rsidR="00000000" w:rsidRPr="00000000">
        <w:rPr>
          <w:rtl w:val="0"/>
        </w:rPr>
        <w:t xml:space="preserve">fentanyl</w:t>
      </w:r>
      <w:r w:rsidDel="00000000" w:rsidR="00000000" w:rsidRPr="00000000">
        <w:rPr>
          <w:rtl w:val="0"/>
        </w:rPr>
        <w:t xml:space="preserve">, psychedelics, and others has increased in recent years. Fundamentally, it is important that we provide students with comprehensive drug education.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 have decided to utilize the Stanford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Reach Lab</w:t>
        </w:r>
      </w:hyperlink>
      <w:r w:rsidDel="00000000" w:rsidR="00000000" w:rsidRPr="00000000">
        <w:rPr>
          <w:rtl w:val="0"/>
        </w:rPr>
        <w:t xml:space="preserve">’s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Safety First: A Comprehensive, Harm-Reduction-Based, Drug Intervention Curriculum</w:t>
        </w:r>
      </w:hyperlink>
      <w:r w:rsidDel="00000000" w:rsidR="00000000" w:rsidRPr="00000000">
        <w:rPr>
          <w:rtl w:val="0"/>
        </w:rPr>
        <w:t xml:space="preserve">.  Safety First </w:t>
      </w:r>
      <w:r w:rsidDel="00000000" w:rsidR="00000000" w:rsidRPr="00000000">
        <w:rPr>
          <w:color w:val="202124"/>
          <w:highlight w:val="white"/>
          <w:rtl w:val="0"/>
        </w:rPr>
        <w:t xml:space="preserve">is a theory-based and evidence-informed curriculum</w:t>
      </w:r>
      <w:r w:rsidDel="00000000" w:rsidR="00000000" w:rsidRPr="00000000">
        <w:rPr>
          <w:color w:val="202124"/>
          <w:highlight w:val="white"/>
          <w:rtl w:val="0"/>
        </w:rPr>
        <w:t xml:space="preserve"> that </w:t>
      </w:r>
      <w:r w:rsidDel="00000000" w:rsidR="00000000" w:rsidRPr="00000000">
        <w:rPr>
          <w:rtl w:val="0"/>
        </w:rPr>
        <w:t xml:space="preserve">encourages all youth to abstain from using drugs, but also includes a clear harm-reduction message for youth who are experimenting or using, to provide high school students with scientifically accurate information to empower them to quit and/or reduce harm, should they choose to continue to use.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&lt;&lt;Next week or on * dates&gt;&gt;, students will begin learning about comprehensive drug education through Stanford’s “Safety First.”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highlight w:val="white"/>
          <w:rtl w:val="0"/>
        </w:rPr>
        <w:t xml:space="preserve">What to expect from the Curriculum: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Educating</w:t>
      </w:r>
      <w:r w:rsidDel="00000000" w:rsidR="00000000" w:rsidRPr="00000000">
        <w:rPr>
          <w:b w:val="1"/>
          <w:rtl w:val="0"/>
        </w:rPr>
        <w:t xml:space="preserve"> and empowering teenagers to make safe and healthy choices must be our highest priority. The REACH Lab and Safety First do this by: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Encouraging youth not to use drugs in the first place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Encouraging youth who are already using to stop or at least cut back or make alternative choices to reduce their risk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Providing straightforward, science-based information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Exploring the risks and perceived benefits of drugs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Prioritizing safety through personal responsibility and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Harm Reduction Education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40" w:before="240" w:line="276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harm reduction approach to drug education discourages young people from using drugs, but offers more than an abstinence-only approach by providing teenagers with information to keep themselves and others safer if, and when, they encounter these substances.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Safety First DOES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See abstinence as an important, and primary, strategy in reducing drug harms.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Empower teens to make healthier choices through accurate information.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Recognize that some teens will try drugs.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Encourage teens to take steps to reduce the potential harms of drug use.</w:t>
      </w:r>
    </w:p>
    <w:p w:rsidR="00000000" w:rsidDel="00000000" w:rsidP="00000000" w:rsidRDefault="00000000" w:rsidRPr="00000000" w14:paraId="0000001E">
      <w:pPr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Safety First DOES NOT: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Encourage or condone teen drug use.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Teach teens how to use drugs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Judge teens who use drugs.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color w:val="202124"/>
          <w:rtl w:val="0"/>
        </w:rPr>
        <w:t xml:space="preserve">The Safety First curriculum includes 13 lessons, each providing activities, presentations, resources, and other materials aimed at addressing key factors associated with teen substance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&lt;&lt;**School District/School **&gt;&gt; is committed to providing the most effective approaches to preventing teen substance use in our schools and communities. We know that prevention of drug use is most effective when it is a partnership between the community, the home, and the school.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  <w:t xml:space="preserve">If you have any questions about this curriculum, you can email the Stanford REACH Lab team at: stanfordreachlab@stanford.edu.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Additionally, feel free to contact me at the email address below with any questions.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&lt;&lt;*ADD EDUCATOR INFO&gt;&gt;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ource Sans 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1186558" cy="58604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6558" cy="5860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</w:r>
    <w:r w:rsidDel="00000000" w:rsidR="00000000" w:rsidRPr="00000000">
      <w:rPr/>
      <w:drawing>
        <wp:inline distB="114300" distT="114300" distL="114300" distR="114300">
          <wp:extent cx="957263" cy="65035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263" cy="6503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Source Sans Pro" w:cs="Source Sans Pro" w:eastAsia="Source Sans Pro" w:hAnsi="Source Sans Pro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d.stanford.edu/adolescent/research/Research.html" TargetMode="External"/><Relationship Id="rId7" Type="http://schemas.openxmlformats.org/officeDocument/2006/relationships/hyperlink" Target="https://med.stanford.edu/halpern-felsher-reach-lab/preventions-interventions/Safety-First.html#introduction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