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DB6" w:rsidRPr="00E327EF" w:rsidRDefault="00F67DB6" w:rsidP="00F67DB6">
      <w:pPr>
        <w:pStyle w:val="Heading1"/>
      </w:pPr>
      <w:bookmarkStart w:id="0" w:name="_Toc19006408"/>
      <w:r w:rsidRPr="00E327EF">
        <w:t>Creating and Using Effective Learning Goals</w:t>
      </w:r>
      <w:bookmarkEnd w:id="0"/>
    </w:p>
    <w:p w:rsidR="00F67DB6" w:rsidRDefault="00D4080A" w:rsidP="00D4080A">
      <w:pPr>
        <w:pStyle w:val="BodyText"/>
        <w:jc w:val="center"/>
      </w:pPr>
      <w:r>
        <w:t xml:space="preserve">Carl </w:t>
      </w:r>
      <w:proofErr w:type="spellStart"/>
      <w:r>
        <w:t>Wieman</w:t>
      </w:r>
      <w:proofErr w:type="spellEnd"/>
      <w:r>
        <w:t xml:space="preserve"> Science Education Initiative (</w:t>
      </w:r>
      <w:r w:rsidR="00F67DB6" w:rsidRPr="00313117">
        <w:t>CWSEI</w:t>
      </w:r>
      <w:r>
        <w:t xml:space="preserve">) </w:t>
      </w:r>
      <w:bookmarkStart w:id="1" w:name="_GoBack"/>
      <w:bookmarkEnd w:id="1"/>
    </w:p>
    <w:p w:rsidR="00D4080A" w:rsidRPr="00313117" w:rsidRDefault="00D4080A" w:rsidP="00D4080A">
      <w:pPr>
        <w:pStyle w:val="BodyText"/>
        <w:jc w:val="center"/>
      </w:pPr>
      <w:r>
        <w:t>and Univ. of Colorado-CU (CU-SEI)</w:t>
      </w:r>
    </w:p>
    <w:p w:rsidR="00F67DB6" w:rsidRPr="00313117" w:rsidRDefault="00F67DB6" w:rsidP="00F67DB6">
      <w:pPr>
        <w:ind w:left="239" w:right="152" w:firstLine="360"/>
      </w:pPr>
      <w:r w:rsidRPr="00313117">
        <w:t xml:space="preserve">An important first step in course transformation has been to define explicit learning goals for each course which then shape the instruction and assessment. Here we briefly describe the process and benefits of writing learning goals. Learning goals explicitly communicate the key ideas and the level at which students should understand them in terms of what the students should be able to </w:t>
      </w:r>
      <w:r w:rsidRPr="00313117">
        <w:rPr>
          <w:i/>
        </w:rPr>
        <w:t>do</w:t>
      </w:r>
      <w:r w:rsidRPr="00313117">
        <w:t>. Learning goals take the form: “</w:t>
      </w:r>
      <w:r w:rsidRPr="00313117">
        <w:rPr>
          <w:b/>
        </w:rPr>
        <w:t>At the end of this course, students will be able to..</w:t>
      </w:r>
      <w:r w:rsidRPr="00313117">
        <w:t>.” followed by a specific action verb and a task. For each course, faculty typically define five to ten course-level goals that convey the major learning themes and concepts, as well as topic-level learning goals (also known as “learning outcomes” or “objectives”) that are more specific and are aligned with the course-level learning goals. Below are examples of learning goals from an introductory genetics course and a 2</w:t>
      </w:r>
      <w:r w:rsidRPr="00313117">
        <w:rPr>
          <w:vertAlign w:val="superscript"/>
        </w:rPr>
        <w:t>nd</w:t>
      </w:r>
      <w:r w:rsidRPr="00313117">
        <w:t xml:space="preserve"> year physics course. A variety of other examples are available at the SEI learning goals resources link given below.</w:t>
      </w:r>
    </w:p>
    <w:p w:rsidR="00F67DB6" w:rsidRPr="00313117" w:rsidRDefault="00F67DB6" w:rsidP="00F67DB6">
      <w:pPr>
        <w:spacing w:before="6"/>
        <w:rPr>
          <w:sz w:val="23"/>
        </w:rPr>
      </w:pPr>
    </w:p>
    <w:tbl>
      <w:tblPr>
        <w:tblW w:w="0" w:type="auto"/>
        <w:tblInd w:w="144" w:type="dxa"/>
        <w:tblBorders>
          <w:top w:val="thickThinMediumGap" w:sz="9" w:space="0" w:color="4F81BD"/>
          <w:left w:val="thickThinMediumGap" w:sz="9" w:space="0" w:color="4F81BD"/>
          <w:bottom w:val="thickThinMediumGap" w:sz="9" w:space="0" w:color="4F81BD"/>
          <w:right w:val="thickThinMediumGap" w:sz="9" w:space="0" w:color="4F81BD"/>
          <w:insideH w:val="thickThinMediumGap" w:sz="9" w:space="0" w:color="4F81BD"/>
          <w:insideV w:val="thickThinMediumGap" w:sz="9" w:space="0" w:color="4F81BD"/>
        </w:tblBorders>
        <w:tblLayout w:type="fixed"/>
        <w:tblCellMar>
          <w:left w:w="0" w:type="dxa"/>
          <w:right w:w="0" w:type="dxa"/>
        </w:tblCellMar>
        <w:tblLook w:val="01E0" w:firstRow="1" w:lastRow="1" w:firstColumn="1" w:lastColumn="1" w:noHBand="0" w:noVBand="0"/>
      </w:tblPr>
      <w:tblGrid>
        <w:gridCol w:w="10800"/>
      </w:tblGrid>
      <w:tr w:rsidR="00F67DB6" w:rsidRPr="00313117" w:rsidTr="00EB27D0">
        <w:trPr>
          <w:trHeight w:val="290"/>
        </w:trPr>
        <w:tc>
          <w:tcPr>
            <w:tcW w:w="10800" w:type="dxa"/>
            <w:tcBorders>
              <w:bottom w:val="nil"/>
            </w:tcBorders>
          </w:tcPr>
          <w:p w:rsidR="00F67DB6" w:rsidRPr="00313117" w:rsidRDefault="00F67DB6" w:rsidP="00EB27D0">
            <w:pPr>
              <w:pStyle w:val="BodyText"/>
            </w:pPr>
            <w:r>
              <w:rPr>
                <w:b/>
              </w:rPr>
              <w:t xml:space="preserve">                            </w:t>
            </w:r>
            <w:r w:rsidRPr="00034455">
              <w:rPr>
                <w:b/>
              </w:rPr>
              <w:t>Examples of learning goals from an introductory genetics course</w:t>
            </w:r>
            <w:r w:rsidRPr="00313117">
              <w:t xml:space="preserve"> (Univ. of Colorado-CU)</w:t>
            </w:r>
          </w:p>
        </w:tc>
      </w:tr>
      <w:tr w:rsidR="00F67DB6" w:rsidRPr="00313117" w:rsidTr="00EB27D0">
        <w:trPr>
          <w:trHeight w:val="514"/>
        </w:trPr>
        <w:tc>
          <w:tcPr>
            <w:tcW w:w="10800" w:type="dxa"/>
            <w:tcBorders>
              <w:top w:val="nil"/>
              <w:bottom w:val="nil"/>
            </w:tcBorders>
          </w:tcPr>
          <w:p w:rsidR="00F67DB6" w:rsidRPr="00313117" w:rsidRDefault="00F67DB6" w:rsidP="00EB27D0">
            <w:pPr>
              <w:spacing w:line="249" w:lineRule="exact"/>
              <w:ind w:left="95"/>
              <w:rPr>
                <w:b/>
              </w:rPr>
            </w:pPr>
            <w:r w:rsidRPr="00313117">
              <w:rPr>
                <w:b/>
              </w:rPr>
              <w:t>Course-level learning goal:</w:t>
            </w:r>
          </w:p>
          <w:p w:rsidR="00F67DB6" w:rsidRPr="00313117" w:rsidRDefault="00F67DB6" w:rsidP="00EB27D0">
            <w:pPr>
              <w:spacing w:before="2" w:line="243" w:lineRule="exact"/>
              <w:ind w:left="95"/>
              <w:rPr>
                <w:sz w:val="20"/>
              </w:rPr>
            </w:pPr>
            <w:r w:rsidRPr="00313117">
              <w:rPr>
                <w:sz w:val="20"/>
              </w:rPr>
              <w:t>Deduce information about genes, alleles, and gene functions from analysis of genetic crosses and patterns of inheritance.</w:t>
            </w:r>
          </w:p>
        </w:tc>
      </w:tr>
      <w:tr w:rsidR="00F67DB6" w:rsidRPr="00313117" w:rsidTr="00EB27D0">
        <w:trPr>
          <w:trHeight w:val="1477"/>
        </w:trPr>
        <w:tc>
          <w:tcPr>
            <w:tcW w:w="10800" w:type="dxa"/>
            <w:tcBorders>
              <w:top w:val="nil"/>
            </w:tcBorders>
          </w:tcPr>
          <w:p w:rsidR="00F67DB6" w:rsidRPr="00313117" w:rsidRDefault="00F67DB6" w:rsidP="00EB27D0">
            <w:pPr>
              <w:spacing w:line="248" w:lineRule="exact"/>
              <w:ind w:left="95"/>
              <w:rPr>
                <w:b/>
              </w:rPr>
            </w:pPr>
            <w:r w:rsidRPr="00313117">
              <w:rPr>
                <w:b/>
              </w:rPr>
              <w:t>Topic-level learning goals:</w:t>
            </w:r>
          </w:p>
          <w:p w:rsidR="00F67DB6" w:rsidRPr="00313117" w:rsidRDefault="00F67DB6" w:rsidP="00F67DB6">
            <w:pPr>
              <w:numPr>
                <w:ilvl w:val="0"/>
                <w:numId w:val="3"/>
              </w:numPr>
              <w:tabs>
                <w:tab w:val="left" w:pos="312"/>
              </w:tabs>
              <w:spacing w:before="2"/>
              <w:rPr>
                <w:sz w:val="20"/>
              </w:rPr>
            </w:pPr>
            <w:r w:rsidRPr="00313117">
              <w:rPr>
                <w:sz w:val="20"/>
              </w:rPr>
              <w:t>Draw a pedigree based on information in a story</w:t>
            </w:r>
            <w:r w:rsidRPr="00313117">
              <w:rPr>
                <w:spacing w:val="1"/>
                <w:sz w:val="20"/>
              </w:rPr>
              <w:t xml:space="preserve"> </w:t>
            </w:r>
            <w:r w:rsidRPr="00313117">
              <w:rPr>
                <w:sz w:val="20"/>
              </w:rPr>
              <w:t>problem.</w:t>
            </w:r>
          </w:p>
          <w:p w:rsidR="00F67DB6" w:rsidRPr="00313117" w:rsidRDefault="00F67DB6" w:rsidP="00F67DB6">
            <w:pPr>
              <w:numPr>
                <w:ilvl w:val="0"/>
                <w:numId w:val="3"/>
              </w:numPr>
              <w:tabs>
                <w:tab w:val="left" w:pos="312"/>
              </w:tabs>
              <w:spacing w:before="1" w:line="243" w:lineRule="exact"/>
              <w:rPr>
                <w:sz w:val="20"/>
              </w:rPr>
            </w:pPr>
            <w:r w:rsidRPr="00313117">
              <w:rPr>
                <w:sz w:val="20"/>
              </w:rPr>
              <w:t>Distinguish between different modes of inheritance.</w:t>
            </w:r>
          </w:p>
          <w:p w:rsidR="00F67DB6" w:rsidRPr="00313117" w:rsidRDefault="00F67DB6" w:rsidP="00F67DB6">
            <w:pPr>
              <w:numPr>
                <w:ilvl w:val="0"/>
                <w:numId w:val="3"/>
              </w:numPr>
              <w:tabs>
                <w:tab w:val="left" w:pos="312"/>
              </w:tabs>
              <w:spacing w:line="243" w:lineRule="exact"/>
              <w:rPr>
                <w:sz w:val="20"/>
              </w:rPr>
            </w:pPr>
            <w:r w:rsidRPr="00313117">
              <w:rPr>
                <w:sz w:val="20"/>
              </w:rPr>
              <w:t>Calculate the probability that an individual in a pedigree has a particular genotype or</w:t>
            </w:r>
            <w:r w:rsidRPr="00313117">
              <w:rPr>
                <w:spacing w:val="-12"/>
                <w:sz w:val="20"/>
              </w:rPr>
              <w:t xml:space="preserve"> </w:t>
            </w:r>
            <w:r w:rsidRPr="00313117">
              <w:rPr>
                <w:sz w:val="20"/>
              </w:rPr>
              <w:t>phenotype.</w:t>
            </w:r>
          </w:p>
          <w:p w:rsidR="00F67DB6" w:rsidRPr="00313117" w:rsidRDefault="00F67DB6" w:rsidP="00F67DB6">
            <w:pPr>
              <w:numPr>
                <w:ilvl w:val="0"/>
                <w:numId w:val="3"/>
              </w:numPr>
              <w:tabs>
                <w:tab w:val="left" w:pos="312"/>
              </w:tabs>
              <w:spacing w:before="1"/>
              <w:rPr>
                <w:sz w:val="20"/>
              </w:rPr>
            </w:pPr>
            <w:r w:rsidRPr="00313117">
              <w:rPr>
                <w:sz w:val="20"/>
              </w:rPr>
              <w:t>Design genetic crosses to provide information about genes, alleles, and gene</w:t>
            </w:r>
            <w:r w:rsidRPr="00313117">
              <w:rPr>
                <w:spacing w:val="-3"/>
                <w:sz w:val="20"/>
              </w:rPr>
              <w:t xml:space="preserve"> </w:t>
            </w:r>
            <w:r w:rsidRPr="00313117">
              <w:rPr>
                <w:sz w:val="20"/>
              </w:rPr>
              <w:t>functions.</w:t>
            </w:r>
          </w:p>
          <w:p w:rsidR="00F67DB6" w:rsidRPr="00313117" w:rsidRDefault="00F67DB6" w:rsidP="00F67DB6">
            <w:pPr>
              <w:numPr>
                <w:ilvl w:val="0"/>
                <w:numId w:val="3"/>
              </w:numPr>
              <w:tabs>
                <w:tab w:val="left" w:pos="312"/>
              </w:tabs>
              <w:spacing w:line="230" w:lineRule="exact"/>
              <w:rPr>
                <w:sz w:val="20"/>
              </w:rPr>
            </w:pPr>
            <w:r w:rsidRPr="00313117">
              <w:rPr>
                <w:sz w:val="20"/>
              </w:rPr>
              <w:t>Use</w:t>
            </w:r>
            <w:r w:rsidRPr="00313117">
              <w:rPr>
                <w:spacing w:val="-4"/>
                <w:sz w:val="20"/>
              </w:rPr>
              <w:t xml:space="preserve"> </w:t>
            </w:r>
            <w:r w:rsidRPr="00313117">
              <w:rPr>
                <w:sz w:val="20"/>
              </w:rPr>
              <w:t>statistical</w:t>
            </w:r>
            <w:r w:rsidRPr="00313117">
              <w:rPr>
                <w:spacing w:val="-3"/>
                <w:sz w:val="20"/>
              </w:rPr>
              <w:t xml:space="preserve"> </w:t>
            </w:r>
            <w:r w:rsidRPr="00313117">
              <w:rPr>
                <w:sz w:val="20"/>
              </w:rPr>
              <w:t>analysis</w:t>
            </w:r>
            <w:r w:rsidRPr="00313117">
              <w:rPr>
                <w:spacing w:val="-4"/>
                <w:sz w:val="20"/>
              </w:rPr>
              <w:t xml:space="preserve"> </w:t>
            </w:r>
            <w:r w:rsidRPr="00313117">
              <w:rPr>
                <w:sz w:val="20"/>
              </w:rPr>
              <w:t>to</w:t>
            </w:r>
            <w:r w:rsidRPr="00313117">
              <w:rPr>
                <w:spacing w:val="-3"/>
                <w:sz w:val="20"/>
              </w:rPr>
              <w:t xml:space="preserve"> </w:t>
            </w:r>
            <w:r w:rsidRPr="00313117">
              <w:rPr>
                <w:sz w:val="20"/>
              </w:rPr>
              <w:t>determine</w:t>
            </w:r>
            <w:r w:rsidRPr="00313117">
              <w:rPr>
                <w:spacing w:val="-4"/>
                <w:sz w:val="20"/>
              </w:rPr>
              <w:t xml:space="preserve"> </w:t>
            </w:r>
            <w:r w:rsidRPr="00313117">
              <w:rPr>
                <w:sz w:val="20"/>
              </w:rPr>
              <w:t>how</w:t>
            </w:r>
            <w:r w:rsidRPr="00313117">
              <w:rPr>
                <w:spacing w:val="-1"/>
                <w:sz w:val="20"/>
              </w:rPr>
              <w:t xml:space="preserve"> </w:t>
            </w:r>
            <w:r w:rsidRPr="00313117">
              <w:rPr>
                <w:sz w:val="20"/>
              </w:rPr>
              <w:t>well</w:t>
            </w:r>
            <w:r w:rsidRPr="00313117">
              <w:rPr>
                <w:spacing w:val="-3"/>
                <w:sz w:val="20"/>
              </w:rPr>
              <w:t xml:space="preserve"> </w:t>
            </w:r>
            <w:r w:rsidRPr="00313117">
              <w:rPr>
                <w:sz w:val="20"/>
              </w:rPr>
              <w:t>data</w:t>
            </w:r>
            <w:r w:rsidRPr="00313117">
              <w:rPr>
                <w:spacing w:val="-2"/>
                <w:sz w:val="20"/>
              </w:rPr>
              <w:t xml:space="preserve"> </w:t>
            </w:r>
            <w:r w:rsidRPr="00313117">
              <w:rPr>
                <w:sz w:val="20"/>
              </w:rPr>
              <w:t>from</w:t>
            </w:r>
            <w:r w:rsidRPr="00313117">
              <w:rPr>
                <w:spacing w:val="-4"/>
                <w:sz w:val="20"/>
              </w:rPr>
              <w:t xml:space="preserve"> </w:t>
            </w:r>
            <w:r w:rsidRPr="00313117">
              <w:rPr>
                <w:sz w:val="20"/>
              </w:rPr>
              <w:t>a</w:t>
            </w:r>
            <w:r w:rsidRPr="00313117">
              <w:rPr>
                <w:spacing w:val="-2"/>
                <w:sz w:val="20"/>
              </w:rPr>
              <w:t xml:space="preserve"> </w:t>
            </w:r>
            <w:r w:rsidRPr="00313117">
              <w:rPr>
                <w:sz w:val="20"/>
              </w:rPr>
              <w:t>genetic</w:t>
            </w:r>
            <w:r w:rsidRPr="00313117">
              <w:rPr>
                <w:spacing w:val="-3"/>
                <w:sz w:val="20"/>
              </w:rPr>
              <w:t xml:space="preserve"> </w:t>
            </w:r>
            <w:r w:rsidRPr="00313117">
              <w:rPr>
                <w:sz w:val="20"/>
              </w:rPr>
              <w:t>cross</w:t>
            </w:r>
            <w:r w:rsidRPr="00313117">
              <w:rPr>
                <w:spacing w:val="-4"/>
                <w:sz w:val="20"/>
              </w:rPr>
              <w:t xml:space="preserve"> </w:t>
            </w:r>
            <w:r w:rsidRPr="00313117">
              <w:rPr>
                <w:sz w:val="20"/>
              </w:rPr>
              <w:t>or</w:t>
            </w:r>
            <w:r w:rsidRPr="00313117">
              <w:rPr>
                <w:spacing w:val="-3"/>
                <w:sz w:val="20"/>
              </w:rPr>
              <w:t xml:space="preserve"> </w:t>
            </w:r>
            <w:r w:rsidRPr="00313117">
              <w:rPr>
                <w:sz w:val="20"/>
              </w:rPr>
              <w:t>human</w:t>
            </w:r>
            <w:r w:rsidRPr="00313117">
              <w:rPr>
                <w:spacing w:val="-2"/>
                <w:sz w:val="20"/>
              </w:rPr>
              <w:t xml:space="preserve"> </w:t>
            </w:r>
            <w:r w:rsidRPr="00313117">
              <w:rPr>
                <w:sz w:val="20"/>
              </w:rPr>
              <w:t>pedigree</w:t>
            </w:r>
            <w:r w:rsidRPr="00313117">
              <w:rPr>
                <w:spacing w:val="-4"/>
                <w:sz w:val="20"/>
              </w:rPr>
              <w:t xml:space="preserve"> </w:t>
            </w:r>
            <w:r w:rsidRPr="00313117">
              <w:rPr>
                <w:sz w:val="20"/>
              </w:rPr>
              <w:t>analysis</w:t>
            </w:r>
            <w:r w:rsidRPr="00313117">
              <w:rPr>
                <w:spacing w:val="-4"/>
                <w:sz w:val="20"/>
              </w:rPr>
              <w:t xml:space="preserve"> </w:t>
            </w:r>
            <w:r w:rsidRPr="00313117">
              <w:rPr>
                <w:sz w:val="20"/>
              </w:rPr>
              <w:t>fits</w:t>
            </w:r>
            <w:r w:rsidRPr="00313117">
              <w:rPr>
                <w:spacing w:val="-5"/>
                <w:sz w:val="20"/>
              </w:rPr>
              <w:t xml:space="preserve"> </w:t>
            </w:r>
            <w:r w:rsidRPr="00313117">
              <w:rPr>
                <w:sz w:val="20"/>
              </w:rPr>
              <w:t>theoretical</w:t>
            </w:r>
            <w:r w:rsidRPr="00313117">
              <w:rPr>
                <w:spacing w:val="-3"/>
                <w:sz w:val="20"/>
              </w:rPr>
              <w:t xml:space="preserve"> </w:t>
            </w:r>
            <w:r w:rsidRPr="00313117">
              <w:rPr>
                <w:sz w:val="20"/>
              </w:rPr>
              <w:t>predictions.</w:t>
            </w:r>
          </w:p>
        </w:tc>
      </w:tr>
    </w:tbl>
    <w:p w:rsidR="00F67DB6" w:rsidRPr="00313117" w:rsidRDefault="00F67DB6" w:rsidP="00F67DB6">
      <w:pPr>
        <w:spacing w:before="4"/>
        <w:rPr>
          <w:sz w:val="24"/>
        </w:rPr>
      </w:pPr>
    </w:p>
    <w:tbl>
      <w:tblPr>
        <w:tblW w:w="0" w:type="auto"/>
        <w:tblInd w:w="144" w:type="dxa"/>
        <w:tblBorders>
          <w:top w:val="thickThinMediumGap" w:sz="9" w:space="0" w:color="4F81BD"/>
          <w:left w:val="thickThinMediumGap" w:sz="9" w:space="0" w:color="4F81BD"/>
          <w:bottom w:val="thickThinMediumGap" w:sz="9" w:space="0" w:color="4F81BD"/>
          <w:right w:val="thickThinMediumGap" w:sz="9" w:space="0" w:color="4F81BD"/>
          <w:insideH w:val="thickThinMediumGap" w:sz="9" w:space="0" w:color="4F81BD"/>
          <w:insideV w:val="thickThinMediumGap" w:sz="9" w:space="0" w:color="4F81BD"/>
        </w:tblBorders>
        <w:tblLayout w:type="fixed"/>
        <w:tblCellMar>
          <w:left w:w="0" w:type="dxa"/>
          <w:right w:w="0" w:type="dxa"/>
        </w:tblCellMar>
        <w:tblLook w:val="01E0" w:firstRow="1" w:lastRow="1" w:firstColumn="1" w:lastColumn="1" w:noHBand="0" w:noVBand="0"/>
      </w:tblPr>
      <w:tblGrid>
        <w:gridCol w:w="10800"/>
      </w:tblGrid>
      <w:tr w:rsidR="00F67DB6" w:rsidRPr="00313117" w:rsidTr="00EB27D0">
        <w:trPr>
          <w:trHeight w:val="290"/>
        </w:trPr>
        <w:tc>
          <w:tcPr>
            <w:tcW w:w="10800" w:type="dxa"/>
            <w:tcBorders>
              <w:bottom w:val="nil"/>
            </w:tcBorders>
          </w:tcPr>
          <w:p w:rsidR="00F67DB6" w:rsidRPr="00313117" w:rsidRDefault="00F67DB6" w:rsidP="00EB27D0">
            <w:pPr>
              <w:pStyle w:val="BodyText"/>
            </w:pPr>
            <w:r>
              <w:rPr>
                <w:b/>
              </w:rPr>
              <w:t xml:space="preserve">                            </w:t>
            </w:r>
            <w:r w:rsidRPr="00034455">
              <w:rPr>
                <w:b/>
              </w:rPr>
              <w:t>Examples of learning goals from a 2</w:t>
            </w:r>
            <w:r w:rsidRPr="00034455">
              <w:rPr>
                <w:b/>
                <w:vertAlign w:val="superscript"/>
              </w:rPr>
              <w:t>nd</w:t>
            </w:r>
            <w:r w:rsidRPr="00034455">
              <w:rPr>
                <w:b/>
              </w:rPr>
              <w:t xml:space="preserve"> year physics course (</w:t>
            </w:r>
            <w:r w:rsidRPr="00313117">
              <w:t>Univ. of British Columbia-UBC)</w:t>
            </w:r>
          </w:p>
        </w:tc>
      </w:tr>
      <w:tr w:rsidR="00F67DB6" w:rsidRPr="00313117" w:rsidTr="00EB27D0">
        <w:trPr>
          <w:trHeight w:val="513"/>
        </w:trPr>
        <w:tc>
          <w:tcPr>
            <w:tcW w:w="10800" w:type="dxa"/>
            <w:tcBorders>
              <w:top w:val="nil"/>
              <w:bottom w:val="nil"/>
            </w:tcBorders>
          </w:tcPr>
          <w:p w:rsidR="00F67DB6" w:rsidRPr="00313117" w:rsidRDefault="00F67DB6" w:rsidP="00EB27D0">
            <w:pPr>
              <w:spacing w:line="249" w:lineRule="exact"/>
              <w:ind w:left="95"/>
              <w:rPr>
                <w:b/>
              </w:rPr>
            </w:pPr>
            <w:r w:rsidRPr="00313117">
              <w:rPr>
                <w:b/>
              </w:rPr>
              <w:t>Course-level learning goal:</w:t>
            </w:r>
          </w:p>
          <w:p w:rsidR="00F67DB6" w:rsidRPr="00313117" w:rsidRDefault="00F67DB6" w:rsidP="00EB27D0">
            <w:pPr>
              <w:spacing w:before="2" w:line="242" w:lineRule="exact"/>
              <w:ind w:left="95"/>
              <w:rPr>
                <w:sz w:val="20"/>
              </w:rPr>
            </w:pPr>
            <w:r w:rsidRPr="00313117">
              <w:rPr>
                <w:sz w:val="20"/>
              </w:rPr>
              <w:t>Be able to argue that the ideas of quantum physics are true and that it is useful for engineers to know about them.</w:t>
            </w:r>
          </w:p>
        </w:tc>
      </w:tr>
      <w:tr w:rsidR="00F67DB6" w:rsidRPr="00313117" w:rsidTr="00EB27D0">
        <w:trPr>
          <w:trHeight w:val="1965"/>
        </w:trPr>
        <w:tc>
          <w:tcPr>
            <w:tcW w:w="10800" w:type="dxa"/>
            <w:tcBorders>
              <w:top w:val="nil"/>
            </w:tcBorders>
          </w:tcPr>
          <w:p w:rsidR="00F67DB6" w:rsidRPr="00313117" w:rsidRDefault="00F67DB6" w:rsidP="00EB27D0">
            <w:pPr>
              <w:spacing w:line="247" w:lineRule="exact"/>
              <w:ind w:left="95"/>
              <w:rPr>
                <w:b/>
              </w:rPr>
            </w:pPr>
            <w:r w:rsidRPr="00313117">
              <w:rPr>
                <w:b/>
              </w:rPr>
              <w:t>Topic-level learning goals:</w:t>
            </w:r>
          </w:p>
          <w:p w:rsidR="00F67DB6" w:rsidRPr="00313117" w:rsidRDefault="00F67DB6" w:rsidP="00F67DB6">
            <w:pPr>
              <w:numPr>
                <w:ilvl w:val="0"/>
                <w:numId w:val="2"/>
              </w:numPr>
              <w:tabs>
                <w:tab w:val="left" w:pos="312"/>
              </w:tabs>
              <w:spacing w:before="2"/>
              <w:rPr>
                <w:sz w:val="20"/>
              </w:rPr>
            </w:pPr>
            <w:r w:rsidRPr="00313117">
              <w:rPr>
                <w:sz w:val="20"/>
              </w:rPr>
              <w:t>Given</w:t>
            </w:r>
            <w:r w:rsidRPr="00313117">
              <w:rPr>
                <w:spacing w:val="-2"/>
                <w:sz w:val="20"/>
              </w:rPr>
              <w:t xml:space="preserve"> </w:t>
            </w:r>
            <w:r w:rsidRPr="00313117">
              <w:rPr>
                <w:sz w:val="20"/>
              </w:rPr>
              <w:t>a</w:t>
            </w:r>
            <w:r w:rsidRPr="00313117">
              <w:rPr>
                <w:spacing w:val="-2"/>
                <w:sz w:val="20"/>
              </w:rPr>
              <w:t xml:space="preserve"> </w:t>
            </w:r>
            <w:r w:rsidRPr="00313117">
              <w:rPr>
                <w:sz w:val="20"/>
              </w:rPr>
              <w:t>simple</w:t>
            </w:r>
            <w:r w:rsidRPr="00313117">
              <w:rPr>
                <w:spacing w:val="-4"/>
                <w:sz w:val="20"/>
              </w:rPr>
              <w:t xml:space="preserve"> </w:t>
            </w:r>
            <w:r w:rsidRPr="00313117">
              <w:rPr>
                <w:sz w:val="20"/>
              </w:rPr>
              <w:t>physical</w:t>
            </w:r>
            <w:r w:rsidRPr="00313117">
              <w:rPr>
                <w:spacing w:val="-3"/>
                <w:sz w:val="20"/>
              </w:rPr>
              <w:t xml:space="preserve"> </w:t>
            </w:r>
            <w:r w:rsidRPr="00313117">
              <w:rPr>
                <w:sz w:val="20"/>
              </w:rPr>
              <w:t>system,</w:t>
            </w:r>
            <w:r w:rsidRPr="00313117">
              <w:rPr>
                <w:spacing w:val="-2"/>
                <w:sz w:val="20"/>
              </w:rPr>
              <w:t xml:space="preserve"> </w:t>
            </w:r>
            <w:r w:rsidRPr="00313117">
              <w:rPr>
                <w:sz w:val="20"/>
              </w:rPr>
              <w:t>be</w:t>
            </w:r>
            <w:r w:rsidRPr="00313117">
              <w:rPr>
                <w:spacing w:val="-4"/>
                <w:sz w:val="20"/>
              </w:rPr>
              <w:t xml:space="preserve"> </w:t>
            </w:r>
            <w:r w:rsidRPr="00313117">
              <w:rPr>
                <w:sz w:val="20"/>
              </w:rPr>
              <w:t>able</w:t>
            </w:r>
            <w:r w:rsidRPr="00313117">
              <w:rPr>
                <w:spacing w:val="-4"/>
                <w:sz w:val="20"/>
              </w:rPr>
              <w:t xml:space="preserve"> </w:t>
            </w:r>
            <w:r w:rsidRPr="00313117">
              <w:rPr>
                <w:sz w:val="20"/>
              </w:rPr>
              <w:t>to</w:t>
            </w:r>
            <w:r w:rsidRPr="00313117">
              <w:rPr>
                <w:spacing w:val="-3"/>
                <w:sz w:val="20"/>
              </w:rPr>
              <w:t xml:space="preserve"> </w:t>
            </w:r>
            <w:r w:rsidRPr="00313117">
              <w:rPr>
                <w:sz w:val="20"/>
              </w:rPr>
              <w:t>draw</w:t>
            </w:r>
            <w:r w:rsidRPr="00313117">
              <w:rPr>
                <w:spacing w:val="-4"/>
                <w:sz w:val="20"/>
              </w:rPr>
              <w:t xml:space="preserve"> </w:t>
            </w:r>
            <w:r w:rsidRPr="00313117">
              <w:rPr>
                <w:sz w:val="20"/>
              </w:rPr>
              <w:t>the</w:t>
            </w:r>
            <w:r w:rsidRPr="00313117">
              <w:rPr>
                <w:spacing w:val="-4"/>
                <w:sz w:val="20"/>
              </w:rPr>
              <w:t xml:space="preserve"> </w:t>
            </w:r>
            <w:r w:rsidRPr="00313117">
              <w:rPr>
                <w:sz w:val="20"/>
              </w:rPr>
              <w:t>relevant</w:t>
            </w:r>
            <w:r w:rsidRPr="00313117">
              <w:rPr>
                <w:spacing w:val="-3"/>
                <w:sz w:val="20"/>
              </w:rPr>
              <w:t xml:space="preserve"> </w:t>
            </w:r>
            <w:r w:rsidRPr="00313117">
              <w:rPr>
                <w:sz w:val="20"/>
              </w:rPr>
              <w:t>potential</w:t>
            </w:r>
            <w:r w:rsidRPr="00313117">
              <w:rPr>
                <w:spacing w:val="-3"/>
                <w:sz w:val="20"/>
              </w:rPr>
              <w:t xml:space="preserve"> </w:t>
            </w:r>
            <w:r w:rsidRPr="00313117">
              <w:rPr>
                <w:sz w:val="20"/>
              </w:rPr>
              <w:t>energy</w:t>
            </w:r>
            <w:r w:rsidRPr="00313117">
              <w:rPr>
                <w:spacing w:val="-2"/>
                <w:sz w:val="20"/>
              </w:rPr>
              <w:t xml:space="preserve"> </w:t>
            </w:r>
            <w:r w:rsidRPr="00313117">
              <w:rPr>
                <w:sz w:val="20"/>
              </w:rPr>
              <w:t>curve</w:t>
            </w:r>
            <w:r w:rsidRPr="00313117">
              <w:rPr>
                <w:spacing w:val="-4"/>
                <w:sz w:val="20"/>
              </w:rPr>
              <w:t xml:space="preserve"> </w:t>
            </w:r>
            <w:r w:rsidRPr="00313117">
              <w:rPr>
                <w:sz w:val="20"/>
              </w:rPr>
              <w:t>needed</w:t>
            </w:r>
            <w:r w:rsidRPr="00313117">
              <w:rPr>
                <w:spacing w:val="-2"/>
                <w:sz w:val="20"/>
              </w:rPr>
              <w:t xml:space="preserve"> </w:t>
            </w:r>
            <w:r w:rsidRPr="00313117">
              <w:rPr>
                <w:sz w:val="20"/>
              </w:rPr>
              <w:t>to</w:t>
            </w:r>
            <w:r w:rsidRPr="00313117">
              <w:rPr>
                <w:spacing w:val="-3"/>
                <w:sz w:val="20"/>
              </w:rPr>
              <w:t xml:space="preserve"> </w:t>
            </w:r>
            <w:r w:rsidRPr="00313117">
              <w:rPr>
                <w:sz w:val="20"/>
              </w:rPr>
              <w:t>model</w:t>
            </w:r>
            <w:r w:rsidRPr="00313117">
              <w:rPr>
                <w:spacing w:val="-3"/>
                <w:sz w:val="20"/>
              </w:rPr>
              <w:t xml:space="preserve"> </w:t>
            </w:r>
            <w:r w:rsidRPr="00313117">
              <w:rPr>
                <w:sz w:val="20"/>
              </w:rPr>
              <w:t>dynamical</w:t>
            </w:r>
            <w:r w:rsidRPr="00313117">
              <w:rPr>
                <w:spacing w:val="-3"/>
                <w:sz w:val="20"/>
              </w:rPr>
              <w:t xml:space="preserve"> </w:t>
            </w:r>
            <w:proofErr w:type="spellStart"/>
            <w:r w:rsidRPr="00313117">
              <w:rPr>
                <w:sz w:val="20"/>
              </w:rPr>
              <w:t>behaviour</w:t>
            </w:r>
            <w:proofErr w:type="spellEnd"/>
            <w:r w:rsidRPr="00313117">
              <w:rPr>
                <w:sz w:val="20"/>
              </w:rPr>
              <w:t>.</w:t>
            </w:r>
          </w:p>
          <w:p w:rsidR="00F67DB6" w:rsidRPr="00313117" w:rsidRDefault="00F67DB6" w:rsidP="00F67DB6">
            <w:pPr>
              <w:numPr>
                <w:ilvl w:val="0"/>
                <w:numId w:val="2"/>
              </w:numPr>
              <w:tabs>
                <w:tab w:val="left" w:pos="312"/>
              </w:tabs>
              <w:spacing w:before="1"/>
              <w:ind w:right="119"/>
              <w:rPr>
                <w:sz w:val="20"/>
              </w:rPr>
            </w:pPr>
            <w:r w:rsidRPr="00313117">
              <w:rPr>
                <w:sz w:val="20"/>
              </w:rPr>
              <w:t xml:space="preserve">Be able to explain the essential role of the quantization of light as demonstrated by the photoelectric effect in the operation of a photomultiplier tube, a </w:t>
            </w:r>
            <w:proofErr w:type="gramStart"/>
            <w:r w:rsidRPr="00313117">
              <w:rPr>
                <w:sz w:val="20"/>
              </w:rPr>
              <w:t>solid state</w:t>
            </w:r>
            <w:proofErr w:type="gramEnd"/>
            <w:r w:rsidRPr="00313117">
              <w:rPr>
                <w:sz w:val="20"/>
              </w:rPr>
              <w:t xml:space="preserve"> photodetector such as used in motion sensors, and the human</w:t>
            </w:r>
            <w:r w:rsidRPr="00313117">
              <w:rPr>
                <w:spacing w:val="-8"/>
                <w:sz w:val="20"/>
              </w:rPr>
              <w:t xml:space="preserve"> </w:t>
            </w:r>
            <w:r w:rsidRPr="00313117">
              <w:rPr>
                <w:sz w:val="20"/>
              </w:rPr>
              <w:t>eye.</w:t>
            </w:r>
          </w:p>
          <w:p w:rsidR="00F67DB6" w:rsidRPr="00313117" w:rsidRDefault="00F67DB6" w:rsidP="00F67DB6">
            <w:pPr>
              <w:numPr>
                <w:ilvl w:val="0"/>
                <w:numId w:val="2"/>
              </w:numPr>
              <w:tabs>
                <w:tab w:val="left" w:pos="312"/>
              </w:tabs>
              <w:spacing w:line="243" w:lineRule="exact"/>
              <w:rPr>
                <w:sz w:val="20"/>
              </w:rPr>
            </w:pPr>
            <w:r w:rsidRPr="00313117">
              <w:rPr>
                <w:sz w:val="20"/>
              </w:rPr>
              <w:t>Be</w:t>
            </w:r>
            <w:r w:rsidRPr="00313117">
              <w:rPr>
                <w:spacing w:val="-4"/>
                <w:sz w:val="20"/>
              </w:rPr>
              <w:t xml:space="preserve"> </w:t>
            </w:r>
            <w:r w:rsidRPr="00313117">
              <w:rPr>
                <w:sz w:val="20"/>
              </w:rPr>
              <w:t>able</w:t>
            </w:r>
            <w:r w:rsidRPr="00313117">
              <w:rPr>
                <w:spacing w:val="-4"/>
                <w:sz w:val="20"/>
              </w:rPr>
              <w:t xml:space="preserve"> </w:t>
            </w:r>
            <w:r w:rsidRPr="00313117">
              <w:rPr>
                <w:sz w:val="20"/>
              </w:rPr>
              <w:t>to</w:t>
            </w:r>
            <w:r w:rsidRPr="00313117">
              <w:rPr>
                <w:spacing w:val="-3"/>
                <w:sz w:val="20"/>
              </w:rPr>
              <w:t xml:space="preserve"> </w:t>
            </w:r>
            <w:r w:rsidRPr="00313117">
              <w:rPr>
                <w:sz w:val="20"/>
              </w:rPr>
              <w:t>design</w:t>
            </w:r>
            <w:r w:rsidRPr="00313117">
              <w:rPr>
                <w:spacing w:val="-3"/>
                <w:sz w:val="20"/>
              </w:rPr>
              <w:t xml:space="preserve"> </w:t>
            </w:r>
            <w:r w:rsidRPr="00313117">
              <w:rPr>
                <w:sz w:val="20"/>
              </w:rPr>
              <w:t>an</w:t>
            </w:r>
            <w:r w:rsidRPr="00313117">
              <w:rPr>
                <w:spacing w:val="-3"/>
                <w:sz w:val="20"/>
              </w:rPr>
              <w:t xml:space="preserve"> </w:t>
            </w:r>
            <w:r w:rsidRPr="00313117">
              <w:rPr>
                <w:sz w:val="20"/>
              </w:rPr>
              <w:t>experiment</w:t>
            </w:r>
            <w:r w:rsidRPr="00313117">
              <w:rPr>
                <w:spacing w:val="-3"/>
                <w:sz w:val="20"/>
              </w:rPr>
              <w:t xml:space="preserve"> </w:t>
            </w:r>
            <w:r w:rsidRPr="00313117">
              <w:rPr>
                <w:sz w:val="20"/>
              </w:rPr>
              <w:t>for</w:t>
            </w:r>
            <w:r w:rsidRPr="00313117">
              <w:rPr>
                <w:spacing w:val="-3"/>
                <w:sz w:val="20"/>
              </w:rPr>
              <w:t xml:space="preserve"> </w:t>
            </w:r>
            <w:r w:rsidRPr="00313117">
              <w:rPr>
                <w:sz w:val="20"/>
              </w:rPr>
              <w:t>determining</w:t>
            </w:r>
            <w:r w:rsidRPr="00313117">
              <w:rPr>
                <w:spacing w:val="-3"/>
                <w:sz w:val="20"/>
              </w:rPr>
              <w:t xml:space="preserve"> </w:t>
            </w:r>
            <w:r w:rsidRPr="00313117">
              <w:rPr>
                <w:sz w:val="20"/>
              </w:rPr>
              <w:t>the</w:t>
            </w:r>
            <w:r w:rsidRPr="00313117">
              <w:rPr>
                <w:spacing w:val="-4"/>
                <w:sz w:val="20"/>
              </w:rPr>
              <w:t xml:space="preserve"> </w:t>
            </w:r>
            <w:r w:rsidRPr="00313117">
              <w:rPr>
                <w:sz w:val="20"/>
              </w:rPr>
              <w:t>composition</w:t>
            </w:r>
            <w:r w:rsidRPr="00313117">
              <w:rPr>
                <w:spacing w:val="-3"/>
                <w:sz w:val="20"/>
              </w:rPr>
              <w:t xml:space="preserve"> </w:t>
            </w:r>
            <w:r w:rsidRPr="00313117">
              <w:rPr>
                <w:sz w:val="20"/>
              </w:rPr>
              <w:t>of</w:t>
            </w:r>
            <w:r w:rsidRPr="00313117">
              <w:rPr>
                <w:spacing w:val="-4"/>
                <w:sz w:val="20"/>
              </w:rPr>
              <w:t xml:space="preserve"> </w:t>
            </w:r>
            <w:r w:rsidRPr="00313117">
              <w:rPr>
                <w:sz w:val="20"/>
              </w:rPr>
              <w:t>an</w:t>
            </w:r>
            <w:r w:rsidRPr="00313117">
              <w:rPr>
                <w:spacing w:val="-3"/>
                <w:sz w:val="20"/>
              </w:rPr>
              <w:t xml:space="preserve"> </w:t>
            </w:r>
            <w:r w:rsidRPr="00313117">
              <w:rPr>
                <w:sz w:val="20"/>
              </w:rPr>
              <w:t>unknown</w:t>
            </w:r>
            <w:r w:rsidRPr="00313117">
              <w:rPr>
                <w:spacing w:val="-3"/>
                <w:sz w:val="20"/>
              </w:rPr>
              <w:t xml:space="preserve"> </w:t>
            </w:r>
            <w:r w:rsidRPr="00313117">
              <w:rPr>
                <w:sz w:val="20"/>
              </w:rPr>
              <w:t>pure</w:t>
            </w:r>
            <w:r w:rsidRPr="00313117">
              <w:rPr>
                <w:spacing w:val="-4"/>
                <w:sz w:val="20"/>
              </w:rPr>
              <w:t xml:space="preserve"> </w:t>
            </w:r>
            <w:r w:rsidRPr="00313117">
              <w:rPr>
                <w:sz w:val="20"/>
              </w:rPr>
              <w:t>metal</w:t>
            </w:r>
            <w:r w:rsidRPr="00313117">
              <w:rPr>
                <w:spacing w:val="-3"/>
                <w:sz w:val="20"/>
              </w:rPr>
              <w:t xml:space="preserve"> </w:t>
            </w:r>
            <w:r w:rsidRPr="00313117">
              <w:rPr>
                <w:sz w:val="20"/>
              </w:rPr>
              <w:t>based</w:t>
            </w:r>
            <w:r w:rsidRPr="00313117">
              <w:rPr>
                <w:spacing w:val="-3"/>
                <w:sz w:val="20"/>
              </w:rPr>
              <w:t xml:space="preserve"> </w:t>
            </w:r>
            <w:r w:rsidRPr="00313117">
              <w:rPr>
                <w:sz w:val="20"/>
              </w:rPr>
              <w:t>on</w:t>
            </w:r>
            <w:r w:rsidRPr="00313117">
              <w:rPr>
                <w:spacing w:val="-3"/>
                <w:sz w:val="20"/>
              </w:rPr>
              <w:t xml:space="preserve"> </w:t>
            </w:r>
            <w:r w:rsidRPr="00313117">
              <w:rPr>
                <w:sz w:val="20"/>
              </w:rPr>
              <w:t>the</w:t>
            </w:r>
            <w:r w:rsidRPr="00313117">
              <w:rPr>
                <w:spacing w:val="-4"/>
                <w:sz w:val="20"/>
              </w:rPr>
              <w:t xml:space="preserve"> </w:t>
            </w:r>
            <w:r w:rsidRPr="00313117">
              <w:rPr>
                <w:sz w:val="20"/>
              </w:rPr>
              <w:t>photoelectric</w:t>
            </w:r>
            <w:r w:rsidRPr="00313117">
              <w:rPr>
                <w:spacing w:val="-2"/>
                <w:sz w:val="20"/>
              </w:rPr>
              <w:t xml:space="preserve"> </w:t>
            </w:r>
            <w:r w:rsidRPr="00313117">
              <w:rPr>
                <w:sz w:val="20"/>
              </w:rPr>
              <w:t>effect.</w:t>
            </w:r>
          </w:p>
          <w:p w:rsidR="00F67DB6" w:rsidRPr="00313117" w:rsidRDefault="00F67DB6" w:rsidP="00F67DB6">
            <w:pPr>
              <w:numPr>
                <w:ilvl w:val="0"/>
                <w:numId w:val="2"/>
              </w:numPr>
              <w:tabs>
                <w:tab w:val="left" w:pos="312"/>
              </w:tabs>
              <w:spacing w:before="1"/>
              <w:ind w:right="485"/>
              <w:rPr>
                <w:sz w:val="20"/>
              </w:rPr>
            </w:pPr>
            <w:r w:rsidRPr="00313117">
              <w:rPr>
                <w:sz w:val="20"/>
              </w:rPr>
              <w:t>For an unknown material, be able to analyze whether it is a conductor, insulator, or semiconductor, and then predict what electron energy distribution it must</w:t>
            </w:r>
            <w:r w:rsidRPr="00313117">
              <w:rPr>
                <w:spacing w:val="1"/>
                <w:sz w:val="20"/>
              </w:rPr>
              <w:t xml:space="preserve"> </w:t>
            </w:r>
            <w:r w:rsidRPr="00313117">
              <w:rPr>
                <w:sz w:val="20"/>
              </w:rPr>
              <w:t>have.</w:t>
            </w:r>
          </w:p>
          <w:p w:rsidR="00F67DB6" w:rsidRPr="00313117" w:rsidRDefault="00F67DB6" w:rsidP="00F67DB6">
            <w:pPr>
              <w:numPr>
                <w:ilvl w:val="0"/>
                <w:numId w:val="2"/>
              </w:numPr>
              <w:tabs>
                <w:tab w:val="left" w:pos="312"/>
              </w:tabs>
              <w:spacing w:before="1" w:line="230" w:lineRule="exact"/>
              <w:rPr>
                <w:sz w:val="20"/>
              </w:rPr>
            </w:pPr>
            <w:r w:rsidRPr="00313117">
              <w:rPr>
                <w:sz w:val="20"/>
              </w:rPr>
              <w:t>Qualitatively design a semiconductor diode that will only allow current to flow in one</w:t>
            </w:r>
            <w:r w:rsidRPr="00313117">
              <w:rPr>
                <w:spacing w:val="-10"/>
                <w:sz w:val="20"/>
              </w:rPr>
              <w:t xml:space="preserve"> </w:t>
            </w:r>
            <w:r w:rsidRPr="00313117">
              <w:rPr>
                <w:sz w:val="20"/>
              </w:rPr>
              <w:t>direction.</w:t>
            </w:r>
          </w:p>
        </w:tc>
      </w:tr>
    </w:tbl>
    <w:p w:rsidR="00F67DB6" w:rsidRPr="00313117" w:rsidRDefault="00F67DB6" w:rsidP="00F67DB6">
      <w:pPr>
        <w:spacing w:before="157"/>
        <w:ind w:left="238" w:right="108" w:firstLine="361"/>
      </w:pPr>
      <w:r w:rsidRPr="00313117">
        <w:t xml:space="preserve">The following process of developing learning goals has worked well for course transformations in the SEIs: A working group composed of faculty members who have previously taught a course and those who teach subsequent courses is formed. These working groups typically include a facilitator whose role is to review and synthesize </w:t>
      </w:r>
      <w:proofErr w:type="gramStart"/>
      <w:r w:rsidRPr="00313117">
        <w:t>materials, and</w:t>
      </w:r>
      <w:proofErr w:type="gramEnd"/>
      <w:r w:rsidRPr="00313117">
        <w:t xml:space="preserve"> create learning goal drafts. Learning goals are drafted by referring to materials used by instructors who previously taught the course, with emphasis on homework assignments, exams, and other materials that demonstrate what instructors want students to be able to do. Faculty members who teach subsequent courses communicate what they expect students to know coming into their course. The members of the working group discuss and revise these learning goals until a consensus list is generated, which for any instructor teaching the course would typically cover 70-80% of the class time. One of the most critical aspects of writing learning goals is choosing a verb that describes exactly what students should be able to do. Many </w:t>
      </w:r>
      <w:proofErr w:type="gramStart"/>
      <w:r w:rsidRPr="00313117">
        <w:t>faculty</w:t>
      </w:r>
      <w:proofErr w:type="gramEnd"/>
      <w:r w:rsidRPr="00313117">
        <w:t xml:space="preserve"> are tempted to use the verb “understand,” but this is not specific – two faculty members could both say “understand” but have completely different expectations as to what students should be able to do. We recommend creating learning goals that convey the relevance and usefulness of any particular content to students. Use everyday language and applications when </w:t>
      </w:r>
      <w:proofErr w:type="gramStart"/>
      <w:r w:rsidRPr="00313117">
        <w:t>possible, and</w:t>
      </w:r>
      <w:proofErr w:type="gramEnd"/>
      <w:r w:rsidRPr="00313117">
        <w:t xml:space="preserve"> minimize the use of technical jargon. Many courses at CU and UBC include goals that focus on skills, habits of mind, and affective outcomes such as: “Students should be able to justify &amp; explain their thinking and/or approach to a problem or physical situation.”</w:t>
      </w:r>
    </w:p>
    <w:p w:rsidR="00F67DB6" w:rsidRPr="00313117" w:rsidRDefault="00F67DB6" w:rsidP="00F67DB6">
      <w:pPr>
        <w:sectPr w:rsidR="00F67DB6" w:rsidRPr="00313117" w:rsidSect="00313117">
          <w:pgSz w:w="12240" w:h="15840"/>
          <w:pgMar w:top="360" w:right="620" w:bottom="280" w:left="480" w:header="720" w:footer="720" w:gutter="0"/>
          <w:cols w:space="720"/>
        </w:sectPr>
      </w:pPr>
    </w:p>
    <w:p w:rsidR="00F67DB6" w:rsidRPr="00313117" w:rsidRDefault="00F67DB6" w:rsidP="00F67DB6">
      <w:pPr>
        <w:spacing w:before="45"/>
      </w:pPr>
      <w:r>
        <w:lastRenderedPageBreak/>
        <w:t xml:space="preserve">    </w:t>
      </w:r>
      <w:r w:rsidRPr="00313117">
        <w:t>Based on our experiences, we formulated a check-list to help instructors create and critique learning goals.</w:t>
      </w:r>
    </w:p>
    <w:p w:rsidR="00F67DB6" w:rsidRPr="003222D3" w:rsidRDefault="00F67DB6" w:rsidP="00F67DB6">
      <w:pPr>
        <w:pStyle w:val="BodyText"/>
        <w:ind w:left="383"/>
        <w:rPr>
          <w:b/>
        </w:rPr>
      </w:pPr>
      <w:r w:rsidRPr="003222D3">
        <w:rPr>
          <w:b/>
        </w:rPr>
        <w:t>Check-list for creating learning goals:</w:t>
      </w:r>
    </w:p>
    <w:p w:rsidR="00F67DB6" w:rsidRPr="00313117" w:rsidRDefault="00F67DB6" w:rsidP="00F67DB6">
      <w:pPr>
        <w:numPr>
          <w:ilvl w:val="0"/>
          <w:numId w:val="1"/>
        </w:numPr>
        <w:tabs>
          <w:tab w:val="left" w:pos="672"/>
        </w:tabs>
      </w:pPr>
      <w:r w:rsidRPr="00313117">
        <w:t>Does the learning goal identify what students will be able to do after the topic is</w:t>
      </w:r>
      <w:r w:rsidRPr="00313117">
        <w:rPr>
          <w:spacing w:val="-16"/>
        </w:rPr>
        <w:t xml:space="preserve"> </w:t>
      </w:r>
      <w:r w:rsidRPr="00313117">
        <w:t>covered?</w:t>
      </w:r>
    </w:p>
    <w:p w:rsidR="00F67DB6" w:rsidRPr="00313117" w:rsidRDefault="00F67DB6" w:rsidP="00F67DB6">
      <w:pPr>
        <w:numPr>
          <w:ilvl w:val="0"/>
          <w:numId w:val="1"/>
        </w:numPr>
        <w:tabs>
          <w:tab w:val="left" w:pos="672"/>
        </w:tabs>
      </w:pPr>
      <w:r w:rsidRPr="00313117">
        <w:t>Is it clear how you would test achievement of the learning</w:t>
      </w:r>
      <w:r w:rsidRPr="00313117">
        <w:rPr>
          <w:spacing w:val="-11"/>
        </w:rPr>
        <w:t xml:space="preserve"> </w:t>
      </w:r>
      <w:r w:rsidRPr="00313117">
        <w:t>goal?</w:t>
      </w:r>
    </w:p>
    <w:p w:rsidR="00F67DB6" w:rsidRPr="00313117" w:rsidRDefault="00F67DB6" w:rsidP="00F67DB6">
      <w:pPr>
        <w:numPr>
          <w:ilvl w:val="0"/>
          <w:numId w:val="1"/>
        </w:numPr>
        <w:tabs>
          <w:tab w:val="left" w:pos="672"/>
        </w:tabs>
        <w:spacing w:line="268" w:lineRule="exact"/>
      </w:pPr>
      <w:r w:rsidRPr="00313117">
        <w:t>Do chosen verbs have a clear</w:t>
      </w:r>
      <w:r w:rsidRPr="00313117">
        <w:rPr>
          <w:spacing w:val="-5"/>
        </w:rPr>
        <w:t xml:space="preserve"> </w:t>
      </w:r>
      <w:r w:rsidRPr="00313117">
        <w:t>meaning?</w:t>
      </w:r>
    </w:p>
    <w:p w:rsidR="00F67DB6" w:rsidRPr="00313117" w:rsidRDefault="00F67DB6" w:rsidP="00F67DB6">
      <w:pPr>
        <w:numPr>
          <w:ilvl w:val="0"/>
          <w:numId w:val="1"/>
        </w:numPr>
        <w:tabs>
          <w:tab w:val="left" w:pos="672"/>
        </w:tabs>
        <w:ind w:right="196"/>
      </w:pPr>
      <w:r w:rsidRPr="00313117">
        <w:t>Is the verb aligned with the level of cognitive understanding expected of students? Could you expect a higher level of</w:t>
      </w:r>
      <w:r w:rsidRPr="00313117">
        <w:rPr>
          <w:spacing w:val="-1"/>
        </w:rPr>
        <w:t xml:space="preserve"> </w:t>
      </w:r>
      <w:r w:rsidRPr="00313117">
        <w:t>understanding?</w:t>
      </w:r>
    </w:p>
    <w:p w:rsidR="00F67DB6" w:rsidRPr="00313117" w:rsidRDefault="00F67DB6" w:rsidP="00F67DB6">
      <w:pPr>
        <w:numPr>
          <w:ilvl w:val="0"/>
          <w:numId w:val="1"/>
        </w:numPr>
        <w:tabs>
          <w:tab w:val="left" w:pos="672"/>
        </w:tabs>
      </w:pPr>
      <w:r w:rsidRPr="00313117">
        <w:t>Is the terminology familiar/common? If not, is knowing the terminology a</w:t>
      </w:r>
      <w:r w:rsidRPr="00313117">
        <w:rPr>
          <w:spacing w:val="-6"/>
        </w:rPr>
        <w:t xml:space="preserve"> </w:t>
      </w:r>
      <w:r w:rsidRPr="00313117">
        <w:t>goal?</w:t>
      </w:r>
    </w:p>
    <w:p w:rsidR="00F67DB6" w:rsidRPr="00313117" w:rsidRDefault="00F67DB6" w:rsidP="00F67DB6">
      <w:pPr>
        <w:numPr>
          <w:ilvl w:val="0"/>
          <w:numId w:val="1"/>
        </w:numPr>
        <w:tabs>
          <w:tab w:val="left" w:pos="672"/>
        </w:tabs>
        <w:ind w:right="104"/>
      </w:pPr>
      <w:r w:rsidRPr="00313117">
        <w:t>Is it possible to write the goal so it is relevant and useful to students (e.g. connected to their everyday life, or does it represent a useful application of the</w:t>
      </w:r>
      <w:r w:rsidRPr="00313117">
        <w:rPr>
          <w:spacing w:val="-12"/>
        </w:rPr>
        <w:t xml:space="preserve"> </w:t>
      </w:r>
      <w:r w:rsidRPr="00313117">
        <w:t>ideas)?</w:t>
      </w:r>
    </w:p>
    <w:p w:rsidR="00F67DB6" w:rsidRPr="00313117" w:rsidRDefault="00F67DB6" w:rsidP="00F67DB6">
      <w:pPr>
        <w:ind w:left="239"/>
      </w:pPr>
      <w:r w:rsidRPr="00313117">
        <w:t>-----------------------------------------------------------------------------------------------------------------------------------</w:t>
      </w:r>
    </w:p>
    <w:p w:rsidR="00F67DB6" w:rsidRPr="00313117" w:rsidRDefault="00F67DB6" w:rsidP="00F67DB6">
      <w:pPr>
        <w:spacing w:before="60"/>
        <w:ind w:left="239" w:right="452" w:firstLine="359"/>
      </w:pPr>
      <w:r w:rsidRPr="00313117">
        <w:t>We also aligned the verbs with the cognitive level expected of students. The table below shows levels of learning and examples of verbs that match each level, based on Bloom’s taxonomy of the cognitive domain.</w:t>
      </w:r>
    </w:p>
    <w:p w:rsidR="00F67DB6" w:rsidRPr="003222D3" w:rsidRDefault="00F67DB6" w:rsidP="00F67DB6">
      <w:pPr>
        <w:pStyle w:val="BodyText"/>
        <w:ind w:left="239"/>
        <w:rPr>
          <w:b/>
        </w:rPr>
      </w:pPr>
      <w:r w:rsidRPr="003222D3">
        <w:rPr>
          <w:b/>
        </w:rPr>
        <w:t>Levels of cognitive understanding and corresponding</w:t>
      </w:r>
      <w:r w:rsidRPr="003222D3">
        <w:rPr>
          <w:b/>
          <w:spacing w:val="-25"/>
        </w:rPr>
        <w:t xml:space="preserve"> </w:t>
      </w:r>
      <w:r w:rsidRPr="003222D3">
        <w:rPr>
          <w:b/>
        </w:rPr>
        <w:t>verbs</w:t>
      </w:r>
      <w:r w:rsidRPr="003222D3">
        <w:rPr>
          <w:b/>
        </w:rPr>
        <w:tab/>
      </w:r>
    </w:p>
    <w:tbl>
      <w:tblPr>
        <w:tblW w:w="0" w:type="auto"/>
        <w:tblInd w:w="225" w:type="dxa"/>
        <w:tblLayout w:type="fixed"/>
        <w:tblCellMar>
          <w:left w:w="0" w:type="dxa"/>
          <w:right w:w="0" w:type="dxa"/>
        </w:tblCellMar>
        <w:tblLook w:val="01E0" w:firstRow="1" w:lastRow="1" w:firstColumn="1" w:lastColumn="1" w:noHBand="0" w:noVBand="0"/>
      </w:tblPr>
      <w:tblGrid>
        <w:gridCol w:w="1589"/>
        <w:gridCol w:w="4282"/>
        <w:gridCol w:w="4601"/>
      </w:tblGrid>
      <w:tr w:rsidR="00F67DB6" w:rsidRPr="00313117" w:rsidTr="00EB27D0">
        <w:trPr>
          <w:trHeight w:val="188"/>
        </w:trPr>
        <w:tc>
          <w:tcPr>
            <w:tcW w:w="1589" w:type="dxa"/>
            <w:tcBorders>
              <w:bottom w:val="single" w:sz="4" w:space="0" w:color="000000"/>
            </w:tcBorders>
          </w:tcPr>
          <w:p w:rsidR="00F67DB6" w:rsidRPr="00313117" w:rsidRDefault="00F67DB6" w:rsidP="00EB27D0">
            <w:pPr>
              <w:spacing w:line="182" w:lineRule="exact"/>
              <w:ind w:right="545"/>
              <w:rPr>
                <w:b/>
                <w:sz w:val="20"/>
              </w:rPr>
            </w:pPr>
            <w:r>
              <w:rPr>
                <w:b/>
                <w:sz w:val="20"/>
              </w:rPr>
              <w:t xml:space="preserve">      </w:t>
            </w:r>
            <w:r w:rsidRPr="00313117">
              <w:rPr>
                <w:b/>
                <w:sz w:val="20"/>
              </w:rPr>
              <w:t>Level</w:t>
            </w:r>
          </w:p>
        </w:tc>
        <w:tc>
          <w:tcPr>
            <w:tcW w:w="4282" w:type="dxa"/>
            <w:tcBorders>
              <w:bottom w:val="single" w:sz="4" w:space="0" w:color="000000"/>
            </w:tcBorders>
          </w:tcPr>
          <w:p w:rsidR="00F67DB6" w:rsidRPr="00313117" w:rsidRDefault="00F67DB6" w:rsidP="00EB27D0">
            <w:pPr>
              <w:spacing w:line="182" w:lineRule="exact"/>
              <w:ind w:right="1685"/>
              <w:rPr>
                <w:b/>
                <w:sz w:val="20"/>
              </w:rPr>
            </w:pPr>
            <w:r>
              <w:rPr>
                <w:b/>
                <w:sz w:val="20"/>
              </w:rPr>
              <w:t xml:space="preserve">                                 </w:t>
            </w:r>
            <w:r w:rsidRPr="00313117">
              <w:rPr>
                <w:b/>
                <w:sz w:val="20"/>
              </w:rPr>
              <w:t>Descriptio</w:t>
            </w:r>
            <w:r>
              <w:rPr>
                <w:b/>
                <w:sz w:val="20"/>
              </w:rPr>
              <w:t>n</w:t>
            </w:r>
          </w:p>
        </w:tc>
        <w:tc>
          <w:tcPr>
            <w:tcW w:w="4601" w:type="dxa"/>
            <w:tcBorders>
              <w:bottom w:val="single" w:sz="4" w:space="0" w:color="000000"/>
            </w:tcBorders>
          </w:tcPr>
          <w:p w:rsidR="00F67DB6" w:rsidRPr="00313117" w:rsidRDefault="00F67DB6" w:rsidP="00EB27D0">
            <w:pPr>
              <w:spacing w:line="182" w:lineRule="exact"/>
              <w:ind w:left="1471"/>
              <w:rPr>
                <w:b/>
                <w:sz w:val="20"/>
              </w:rPr>
            </w:pPr>
            <w:r w:rsidRPr="00313117">
              <w:rPr>
                <w:b/>
                <w:sz w:val="20"/>
              </w:rPr>
              <w:t>Representative Verbs</w:t>
            </w:r>
          </w:p>
        </w:tc>
      </w:tr>
      <w:tr w:rsidR="00F67DB6" w:rsidRPr="00313117" w:rsidTr="00EB27D0">
        <w:trPr>
          <w:trHeight w:val="301"/>
        </w:trPr>
        <w:tc>
          <w:tcPr>
            <w:tcW w:w="1589" w:type="dxa"/>
            <w:tcBorders>
              <w:top w:val="single" w:sz="4" w:space="0" w:color="000000"/>
            </w:tcBorders>
          </w:tcPr>
          <w:p w:rsidR="00F67DB6" w:rsidRPr="00313117" w:rsidRDefault="00F67DB6" w:rsidP="00EB27D0">
            <w:pPr>
              <w:spacing w:before="1"/>
              <w:ind w:left="14"/>
              <w:rPr>
                <w:sz w:val="20"/>
              </w:rPr>
            </w:pPr>
            <w:r w:rsidRPr="00313117">
              <w:rPr>
                <w:sz w:val="20"/>
              </w:rPr>
              <w:t>Factual Knowledge</w:t>
            </w:r>
          </w:p>
        </w:tc>
        <w:tc>
          <w:tcPr>
            <w:tcW w:w="4282" w:type="dxa"/>
            <w:tcBorders>
              <w:top w:val="single" w:sz="4" w:space="0" w:color="000000"/>
            </w:tcBorders>
          </w:tcPr>
          <w:p w:rsidR="00F67DB6" w:rsidRPr="00313117" w:rsidRDefault="00F67DB6" w:rsidP="00EB27D0">
            <w:pPr>
              <w:spacing w:before="1"/>
              <w:ind w:left="95"/>
              <w:rPr>
                <w:sz w:val="20"/>
              </w:rPr>
            </w:pPr>
            <w:r w:rsidRPr="00313117">
              <w:rPr>
                <w:sz w:val="20"/>
              </w:rPr>
              <w:t>Remember &amp; recall factual information</w:t>
            </w:r>
          </w:p>
        </w:tc>
        <w:tc>
          <w:tcPr>
            <w:tcW w:w="4601" w:type="dxa"/>
            <w:tcBorders>
              <w:top w:val="single" w:sz="4" w:space="0" w:color="000000"/>
            </w:tcBorders>
          </w:tcPr>
          <w:p w:rsidR="00F67DB6" w:rsidRPr="00313117" w:rsidRDefault="00F67DB6" w:rsidP="00EB27D0">
            <w:pPr>
              <w:spacing w:before="1"/>
              <w:ind w:left="137"/>
              <w:rPr>
                <w:sz w:val="20"/>
              </w:rPr>
            </w:pPr>
            <w:r w:rsidRPr="00313117">
              <w:rPr>
                <w:sz w:val="20"/>
              </w:rPr>
              <w:t>Define, List, State, Label, Name</w:t>
            </w:r>
          </w:p>
        </w:tc>
      </w:tr>
      <w:tr w:rsidR="00F67DB6" w:rsidRPr="00313117" w:rsidTr="00EB27D0">
        <w:trPr>
          <w:trHeight w:val="338"/>
        </w:trPr>
        <w:tc>
          <w:tcPr>
            <w:tcW w:w="1589" w:type="dxa"/>
          </w:tcPr>
          <w:p w:rsidR="00F67DB6" w:rsidRPr="00313117" w:rsidRDefault="00F67DB6" w:rsidP="00EB27D0">
            <w:pPr>
              <w:spacing w:before="40"/>
              <w:ind w:left="14"/>
              <w:rPr>
                <w:sz w:val="20"/>
              </w:rPr>
            </w:pPr>
            <w:r w:rsidRPr="00313117">
              <w:rPr>
                <w:sz w:val="20"/>
              </w:rPr>
              <w:t>Comprehension</w:t>
            </w:r>
          </w:p>
        </w:tc>
        <w:tc>
          <w:tcPr>
            <w:tcW w:w="4282" w:type="dxa"/>
          </w:tcPr>
          <w:p w:rsidR="00F67DB6" w:rsidRPr="00313117" w:rsidRDefault="00F67DB6" w:rsidP="00EB27D0">
            <w:pPr>
              <w:spacing w:before="40"/>
              <w:ind w:left="95"/>
              <w:rPr>
                <w:sz w:val="20"/>
              </w:rPr>
            </w:pPr>
            <w:r w:rsidRPr="00313117">
              <w:rPr>
                <w:sz w:val="20"/>
              </w:rPr>
              <w:t>Demonstrate understanding of ideas, concepts</w:t>
            </w:r>
          </w:p>
        </w:tc>
        <w:tc>
          <w:tcPr>
            <w:tcW w:w="4601" w:type="dxa"/>
          </w:tcPr>
          <w:p w:rsidR="00F67DB6" w:rsidRPr="00313117" w:rsidRDefault="00F67DB6" w:rsidP="00EB27D0">
            <w:pPr>
              <w:spacing w:before="40"/>
              <w:ind w:left="137"/>
              <w:rPr>
                <w:sz w:val="20"/>
              </w:rPr>
            </w:pPr>
            <w:r w:rsidRPr="00313117">
              <w:rPr>
                <w:sz w:val="20"/>
              </w:rPr>
              <w:t>Describe, Explain, Summarize, Interpret, Illustrate</w:t>
            </w:r>
          </w:p>
        </w:tc>
      </w:tr>
      <w:tr w:rsidR="00F67DB6" w:rsidRPr="00313117" w:rsidTr="00EB27D0">
        <w:trPr>
          <w:trHeight w:val="567"/>
        </w:trPr>
        <w:tc>
          <w:tcPr>
            <w:tcW w:w="1589" w:type="dxa"/>
          </w:tcPr>
          <w:p w:rsidR="00F67DB6" w:rsidRPr="00313117" w:rsidRDefault="00F67DB6" w:rsidP="00EB27D0">
            <w:pPr>
              <w:spacing w:before="41"/>
              <w:ind w:left="14"/>
              <w:rPr>
                <w:sz w:val="20"/>
              </w:rPr>
            </w:pPr>
            <w:r w:rsidRPr="00313117">
              <w:rPr>
                <w:sz w:val="20"/>
              </w:rPr>
              <w:t>Application</w:t>
            </w:r>
          </w:p>
        </w:tc>
        <w:tc>
          <w:tcPr>
            <w:tcW w:w="4282" w:type="dxa"/>
          </w:tcPr>
          <w:p w:rsidR="00F67DB6" w:rsidRPr="00313117" w:rsidRDefault="00F67DB6" w:rsidP="00EB27D0">
            <w:pPr>
              <w:spacing w:before="41"/>
              <w:ind w:left="95"/>
              <w:rPr>
                <w:sz w:val="20"/>
              </w:rPr>
            </w:pPr>
            <w:r w:rsidRPr="00313117">
              <w:rPr>
                <w:sz w:val="20"/>
              </w:rPr>
              <w:t>Apply comprehension to unfamiliar situations</w:t>
            </w:r>
          </w:p>
        </w:tc>
        <w:tc>
          <w:tcPr>
            <w:tcW w:w="4601" w:type="dxa"/>
          </w:tcPr>
          <w:p w:rsidR="00F67DB6" w:rsidRPr="00313117" w:rsidRDefault="00F67DB6" w:rsidP="00EB27D0">
            <w:pPr>
              <w:spacing w:before="41"/>
              <w:ind w:left="137" w:right="473"/>
              <w:rPr>
                <w:sz w:val="20"/>
              </w:rPr>
            </w:pPr>
            <w:r w:rsidRPr="00313117">
              <w:rPr>
                <w:sz w:val="20"/>
              </w:rPr>
              <w:t>Apply, Demonstrate, Use, Compute, Solve, Predict, Construct, Modify</w:t>
            </w:r>
          </w:p>
        </w:tc>
      </w:tr>
      <w:tr w:rsidR="00F67DB6" w:rsidRPr="00313117" w:rsidTr="00EB27D0">
        <w:trPr>
          <w:trHeight w:val="566"/>
        </w:trPr>
        <w:tc>
          <w:tcPr>
            <w:tcW w:w="1589" w:type="dxa"/>
          </w:tcPr>
          <w:p w:rsidR="00F67DB6" w:rsidRPr="00313117" w:rsidRDefault="00F67DB6" w:rsidP="00EB27D0">
            <w:pPr>
              <w:spacing w:before="41"/>
              <w:ind w:left="14"/>
              <w:rPr>
                <w:sz w:val="20"/>
              </w:rPr>
            </w:pPr>
            <w:r w:rsidRPr="00313117">
              <w:rPr>
                <w:sz w:val="20"/>
              </w:rPr>
              <w:t>Analysis</w:t>
            </w:r>
          </w:p>
        </w:tc>
        <w:tc>
          <w:tcPr>
            <w:tcW w:w="4282" w:type="dxa"/>
          </w:tcPr>
          <w:p w:rsidR="00F67DB6" w:rsidRPr="00313117" w:rsidRDefault="00F67DB6" w:rsidP="00EB27D0">
            <w:pPr>
              <w:spacing w:before="41"/>
              <w:ind w:left="95"/>
              <w:rPr>
                <w:sz w:val="20"/>
              </w:rPr>
            </w:pPr>
            <w:r w:rsidRPr="00313117">
              <w:rPr>
                <w:sz w:val="20"/>
              </w:rPr>
              <w:t>Break down concepts into parts</w:t>
            </w:r>
          </w:p>
        </w:tc>
        <w:tc>
          <w:tcPr>
            <w:tcW w:w="4601" w:type="dxa"/>
          </w:tcPr>
          <w:p w:rsidR="00F67DB6" w:rsidRPr="00313117" w:rsidRDefault="00F67DB6" w:rsidP="00EB27D0">
            <w:pPr>
              <w:spacing w:before="41"/>
              <w:ind w:left="137" w:right="345"/>
              <w:rPr>
                <w:sz w:val="20"/>
              </w:rPr>
            </w:pPr>
            <w:r w:rsidRPr="00313117">
              <w:rPr>
                <w:sz w:val="20"/>
              </w:rPr>
              <w:t>Compare, Contrast, Categorize, Distinguish, Identify, Infer</w:t>
            </w:r>
          </w:p>
        </w:tc>
      </w:tr>
      <w:tr w:rsidR="00F67DB6" w:rsidRPr="00313117" w:rsidTr="00EB27D0">
        <w:trPr>
          <w:trHeight w:val="339"/>
        </w:trPr>
        <w:tc>
          <w:tcPr>
            <w:tcW w:w="1589" w:type="dxa"/>
          </w:tcPr>
          <w:p w:rsidR="00F67DB6" w:rsidRPr="00313117" w:rsidRDefault="00F67DB6" w:rsidP="00EB27D0">
            <w:pPr>
              <w:spacing w:before="41"/>
              <w:ind w:left="14"/>
              <w:rPr>
                <w:sz w:val="20"/>
              </w:rPr>
            </w:pPr>
            <w:r w:rsidRPr="00313117">
              <w:rPr>
                <w:sz w:val="20"/>
              </w:rPr>
              <w:t>Synthesis</w:t>
            </w:r>
          </w:p>
        </w:tc>
        <w:tc>
          <w:tcPr>
            <w:tcW w:w="4282" w:type="dxa"/>
          </w:tcPr>
          <w:p w:rsidR="00F67DB6" w:rsidRPr="00313117" w:rsidRDefault="00F67DB6" w:rsidP="00EB27D0">
            <w:pPr>
              <w:spacing w:before="41"/>
              <w:ind w:left="95"/>
              <w:rPr>
                <w:sz w:val="20"/>
              </w:rPr>
            </w:pPr>
            <w:r w:rsidRPr="00313117">
              <w:rPr>
                <w:sz w:val="20"/>
              </w:rPr>
              <w:t>Transform, combine ideas to create something new</w:t>
            </w:r>
          </w:p>
        </w:tc>
        <w:tc>
          <w:tcPr>
            <w:tcW w:w="4601" w:type="dxa"/>
          </w:tcPr>
          <w:p w:rsidR="00F67DB6" w:rsidRPr="00313117" w:rsidRDefault="00F67DB6" w:rsidP="00EB27D0">
            <w:pPr>
              <w:spacing w:before="41"/>
              <w:ind w:left="137"/>
              <w:rPr>
                <w:sz w:val="20"/>
              </w:rPr>
            </w:pPr>
            <w:r w:rsidRPr="00313117">
              <w:rPr>
                <w:sz w:val="20"/>
              </w:rPr>
              <w:t>Develop, Create, Propose, Formulate, Design, Invent</w:t>
            </w:r>
          </w:p>
        </w:tc>
      </w:tr>
      <w:tr w:rsidR="00F67DB6" w:rsidRPr="00313117" w:rsidTr="00EB27D0">
        <w:trPr>
          <w:trHeight w:val="488"/>
        </w:trPr>
        <w:tc>
          <w:tcPr>
            <w:tcW w:w="1589" w:type="dxa"/>
          </w:tcPr>
          <w:p w:rsidR="00F67DB6" w:rsidRPr="00313117" w:rsidRDefault="00F67DB6" w:rsidP="00EB27D0">
            <w:pPr>
              <w:spacing w:before="41"/>
              <w:ind w:left="14"/>
              <w:rPr>
                <w:sz w:val="20"/>
              </w:rPr>
            </w:pPr>
            <w:r w:rsidRPr="00313117">
              <w:rPr>
                <w:sz w:val="20"/>
              </w:rPr>
              <w:t>Evaluation</w:t>
            </w:r>
          </w:p>
        </w:tc>
        <w:tc>
          <w:tcPr>
            <w:tcW w:w="4282" w:type="dxa"/>
          </w:tcPr>
          <w:p w:rsidR="00F67DB6" w:rsidRPr="00313117" w:rsidRDefault="00F67DB6" w:rsidP="00EB27D0">
            <w:pPr>
              <w:spacing w:before="41"/>
              <w:ind w:left="95"/>
              <w:rPr>
                <w:sz w:val="20"/>
              </w:rPr>
            </w:pPr>
            <w:r w:rsidRPr="00313117">
              <w:rPr>
                <w:sz w:val="20"/>
              </w:rPr>
              <w:t>Think critically about and defend a position</w:t>
            </w:r>
          </w:p>
        </w:tc>
        <w:tc>
          <w:tcPr>
            <w:tcW w:w="4601" w:type="dxa"/>
          </w:tcPr>
          <w:p w:rsidR="00F67DB6" w:rsidRPr="00313117" w:rsidRDefault="00F67DB6" w:rsidP="00EB27D0">
            <w:pPr>
              <w:spacing w:before="41" w:line="243" w:lineRule="exact"/>
              <w:ind w:left="137"/>
              <w:rPr>
                <w:sz w:val="20"/>
              </w:rPr>
            </w:pPr>
            <w:r w:rsidRPr="00313117">
              <w:rPr>
                <w:sz w:val="20"/>
              </w:rPr>
              <w:t>Judge, Recommend, Justify, Defend, Criticize,</w:t>
            </w:r>
            <w:r w:rsidRPr="00194AE8">
              <w:rPr>
                <w:sz w:val="20"/>
              </w:rPr>
              <w:t xml:space="preserve"> </w:t>
            </w:r>
            <w:r w:rsidRPr="00313117">
              <w:rPr>
                <w:sz w:val="20"/>
              </w:rPr>
              <w:t>Evaluate</w:t>
            </w:r>
          </w:p>
        </w:tc>
      </w:tr>
    </w:tbl>
    <w:p w:rsidR="00F67DB6" w:rsidRPr="00313117" w:rsidRDefault="00F67DB6" w:rsidP="00F67DB6">
      <w:pPr>
        <w:ind w:left="239" w:right="227"/>
      </w:pPr>
      <w:r w:rsidRPr="006554FE">
        <w:rPr>
          <w:b/>
        </w:rPr>
        <w:t>Benefits</w:t>
      </w:r>
      <w:r>
        <w:t>: W</w:t>
      </w:r>
      <w:r w:rsidRPr="00313117">
        <w:t xml:space="preserve">riting learning goals requires effort and </w:t>
      </w:r>
      <w:proofErr w:type="gramStart"/>
      <w:r w:rsidRPr="00313117">
        <w:t>time, but</w:t>
      </w:r>
      <w:proofErr w:type="gramEnd"/>
      <w:r w:rsidRPr="00313117">
        <w:t xml:space="preserve"> carries multiple benefits. Faculty use learning goals as they plan class time, develop homework, and create exams. All aspects of the course become better </w:t>
      </w:r>
      <w:proofErr w:type="gramStart"/>
      <w:r w:rsidRPr="00313117">
        <w:t>aligned, and</w:t>
      </w:r>
      <w:proofErr w:type="gramEnd"/>
      <w:r w:rsidRPr="00313117">
        <w:t xml:space="preserve"> focus on what faculty most want the students to achieve. Faculty using learning goals report that writing good exam questions becomes easier. At CU and UBC, we have seen that the cognitive level of exams often increases as faculty align the questions with the higher cognitive level of the learning goals.</w:t>
      </w:r>
    </w:p>
    <w:p w:rsidR="00F67DB6" w:rsidRPr="00313117" w:rsidRDefault="00F67DB6" w:rsidP="00F67DB6">
      <w:pPr>
        <w:spacing w:before="59"/>
        <w:ind w:left="239" w:right="282" w:firstLine="360"/>
      </w:pPr>
      <w:r w:rsidRPr="00313117">
        <w:t>Sharing the learning goals with students improves faculty-student communication. Learning goals are often posted online and each lecture begins with the relevant learning goals for the day. Surveys reveal that students are overwhelmingly positive about having access to learning goals. The greatest reported benefit is that learning goals let students “know what I need to know,” which helps students focus on important ideas and study more effectively.</w:t>
      </w:r>
    </w:p>
    <w:p w:rsidR="00F67DB6" w:rsidRDefault="00F67DB6" w:rsidP="00F67DB6">
      <w:pPr>
        <w:spacing w:before="61"/>
        <w:ind w:left="239" w:right="125" w:firstLine="359"/>
      </w:pPr>
      <w:r w:rsidRPr="00313117">
        <w:t xml:space="preserve">For departments, writing learning goals has informed, shaped, and aligned the departmental curriculum. By considering the learning goals from multiple courses, departments have discovered that some concepts were taught in an identical manner in multiple courses and other critical concepts were omitted entirely. As a </w:t>
      </w:r>
      <w:proofErr w:type="gramStart"/>
      <w:r w:rsidRPr="00313117">
        <w:t>result</w:t>
      </w:r>
      <w:proofErr w:type="gramEnd"/>
      <w:r w:rsidRPr="00313117">
        <w:t xml:space="preserve"> faculty members who teach different courses have begun to work together so that their goals complement each other and encompass what every student should be able to do by graduation. For instance, some fundamental evolution concepts were added to the CU biology curriculum after this process revealed their absence.</w:t>
      </w:r>
    </w:p>
    <w:p w:rsidR="00F67DB6" w:rsidRDefault="00F67DB6" w:rsidP="00F67DB6">
      <w:pPr>
        <w:spacing w:before="61"/>
        <w:ind w:left="239" w:right="125" w:firstLine="359"/>
      </w:pPr>
    </w:p>
    <w:p w:rsidR="00F67DB6" w:rsidRPr="00313117" w:rsidRDefault="00F67DB6" w:rsidP="00F67DB6">
      <w:pPr>
        <w:ind w:left="245" w:right="130" w:firstLine="360"/>
        <w:rPr>
          <w:sz w:val="16"/>
          <w:szCs w:val="16"/>
        </w:rPr>
      </w:pPr>
    </w:p>
    <w:p w:rsidR="00F67DB6" w:rsidRPr="008B3E54" w:rsidRDefault="00F67DB6" w:rsidP="00F67DB6">
      <w:pPr>
        <w:pStyle w:val="BodyText"/>
        <w:ind w:left="239"/>
        <w:rPr>
          <w:b/>
        </w:rPr>
      </w:pPr>
      <w:r w:rsidRPr="008B3E54">
        <w:rPr>
          <w:b/>
        </w:rPr>
        <w:lastRenderedPageBreak/>
        <w:t>Resources:</w:t>
      </w:r>
    </w:p>
    <w:p w:rsidR="00F67DB6" w:rsidRPr="00313117" w:rsidRDefault="00D4080A" w:rsidP="00F67DB6">
      <w:pPr>
        <w:ind w:left="240"/>
        <w:rPr>
          <w:sz w:val="20"/>
        </w:rPr>
      </w:pPr>
      <w:hyperlink r:id="rId5" w:history="1">
        <w:r w:rsidR="00F67DB6" w:rsidRPr="00DE7831">
          <w:rPr>
            <w:rStyle w:val="Hyperlink"/>
            <w:sz w:val="20"/>
            <w:u w:color="0000FF"/>
          </w:rPr>
          <w:t>www.cwsei.ubc.ca/resources/learn_goals.htm</w:t>
        </w:r>
        <w:r w:rsidR="00F67DB6" w:rsidRPr="00DE7831">
          <w:rPr>
            <w:rStyle w:val="Hyperlink"/>
            <w:sz w:val="20"/>
          </w:rPr>
          <w:t xml:space="preserve"> </w:t>
        </w:r>
      </w:hyperlink>
      <w:r w:rsidR="00F67DB6" w:rsidRPr="00313117">
        <w:rPr>
          <w:rFonts w:ascii="Symbol" w:hAnsi="Symbol"/>
          <w:sz w:val="20"/>
        </w:rPr>
        <w:t></w:t>
      </w:r>
      <w:r w:rsidR="00F67DB6" w:rsidRPr="00313117">
        <w:rPr>
          <w:rFonts w:ascii="Times New Roman" w:hAnsi="Times New Roman"/>
          <w:sz w:val="20"/>
        </w:rPr>
        <w:t xml:space="preserve"> </w:t>
      </w:r>
      <w:r w:rsidR="00F67DB6">
        <w:rPr>
          <w:rFonts w:ascii="Times New Roman" w:hAnsi="Times New Roman"/>
          <w:sz w:val="20"/>
        </w:rPr>
        <w:t xml:space="preserve">Examples </w:t>
      </w:r>
      <w:r w:rsidR="00F67DB6" w:rsidRPr="00313117">
        <w:rPr>
          <w:sz w:val="20"/>
        </w:rPr>
        <w:t xml:space="preserve">of learning goals </w:t>
      </w:r>
      <w:r w:rsidR="00F67DB6">
        <w:rPr>
          <w:sz w:val="20"/>
        </w:rPr>
        <w:t xml:space="preserve">from many UBC &amp; CU SEI science courses. </w:t>
      </w:r>
    </w:p>
    <w:p w:rsidR="00F67DB6" w:rsidRPr="00313117" w:rsidRDefault="00F67DB6" w:rsidP="00F67DB6">
      <w:pPr>
        <w:spacing w:before="80"/>
        <w:ind w:left="240" w:right="132"/>
        <w:rPr>
          <w:sz w:val="20"/>
        </w:rPr>
      </w:pPr>
      <w:r w:rsidRPr="00313117">
        <w:rPr>
          <w:i/>
          <w:sz w:val="20"/>
        </w:rPr>
        <w:t>“At the end of my course, students should be able to …”: The benefits of creating and using effective learning goals</w:t>
      </w:r>
      <w:r w:rsidRPr="00313117">
        <w:rPr>
          <w:sz w:val="20"/>
        </w:rPr>
        <w:t xml:space="preserve">, Michelle Smith &amp; Kathy Perkins, Microbiology Australia, pp. 35-37 (2010). </w:t>
      </w:r>
      <w:hyperlink r:id="rId6">
        <w:r w:rsidRPr="00313117">
          <w:rPr>
            <w:color w:val="0000FF"/>
            <w:sz w:val="20"/>
            <w:u w:val="single" w:color="0000FF"/>
          </w:rPr>
          <w:t>http://microbiology.publish.csiro.au/?act=view_file&amp;file_id=MA10035.pdf</w:t>
        </w:r>
      </w:hyperlink>
    </w:p>
    <w:p w:rsidR="00F67DB6" w:rsidRPr="00313117" w:rsidRDefault="00F67DB6" w:rsidP="00F67DB6">
      <w:pPr>
        <w:spacing w:before="81"/>
        <w:ind w:left="239" w:right="249"/>
        <w:rPr>
          <w:sz w:val="20"/>
        </w:rPr>
      </w:pPr>
      <w:r w:rsidRPr="00313117">
        <w:rPr>
          <w:i/>
          <w:sz w:val="20"/>
        </w:rPr>
        <w:t xml:space="preserve">What is the Value of Course-Specific Learning </w:t>
      </w:r>
      <w:proofErr w:type="gramStart"/>
      <w:r w:rsidRPr="00313117">
        <w:rPr>
          <w:i/>
          <w:sz w:val="20"/>
        </w:rPr>
        <w:t>Goals?</w:t>
      </w:r>
      <w:r w:rsidRPr="00313117">
        <w:rPr>
          <w:sz w:val="20"/>
        </w:rPr>
        <w:t>,</w:t>
      </w:r>
      <w:proofErr w:type="gramEnd"/>
      <w:r w:rsidRPr="00313117">
        <w:rPr>
          <w:sz w:val="20"/>
        </w:rPr>
        <w:t xml:space="preserve"> Beth Simon and Jared Taylor, J</w:t>
      </w:r>
      <w:r>
        <w:rPr>
          <w:sz w:val="20"/>
        </w:rPr>
        <w:t xml:space="preserve">. </w:t>
      </w:r>
      <w:r w:rsidRPr="00313117">
        <w:rPr>
          <w:sz w:val="20"/>
        </w:rPr>
        <w:t>Coll</w:t>
      </w:r>
      <w:r>
        <w:rPr>
          <w:sz w:val="20"/>
        </w:rPr>
        <w:t xml:space="preserve">. Sci. </w:t>
      </w:r>
      <w:r w:rsidRPr="00313117">
        <w:rPr>
          <w:sz w:val="20"/>
        </w:rPr>
        <w:t xml:space="preserve">Teaching, </w:t>
      </w:r>
      <w:r w:rsidRPr="00313117">
        <w:rPr>
          <w:b/>
          <w:sz w:val="20"/>
        </w:rPr>
        <w:t>39</w:t>
      </w:r>
      <w:r w:rsidRPr="00313117">
        <w:rPr>
          <w:sz w:val="20"/>
        </w:rPr>
        <w:t>, pp. 52-57 (2009).</w:t>
      </w:r>
    </w:p>
    <w:p w:rsidR="00F67DB6" w:rsidRDefault="00F67DB6" w:rsidP="00F67DB6">
      <w:pPr>
        <w:pStyle w:val="BodyText"/>
        <w:rPr>
          <w:sz w:val="20"/>
        </w:rPr>
      </w:pPr>
      <w:r w:rsidRPr="00313117">
        <w:rPr>
          <w:i/>
          <w:sz w:val="20"/>
        </w:rPr>
        <w:t>A Thoughtful Approach to Instruction: Course transformation for the rest of us</w:t>
      </w:r>
      <w:r w:rsidRPr="00313117">
        <w:rPr>
          <w:sz w:val="20"/>
        </w:rPr>
        <w:t>, S</w:t>
      </w:r>
      <w:r>
        <w:rPr>
          <w:sz w:val="20"/>
        </w:rPr>
        <w:t xml:space="preserve">. </w:t>
      </w:r>
      <w:r w:rsidRPr="00313117">
        <w:rPr>
          <w:sz w:val="20"/>
        </w:rPr>
        <w:t>Chasteen, K</w:t>
      </w:r>
      <w:r>
        <w:rPr>
          <w:sz w:val="20"/>
        </w:rPr>
        <w:t>.</w:t>
      </w:r>
      <w:r w:rsidRPr="00313117">
        <w:rPr>
          <w:sz w:val="20"/>
        </w:rPr>
        <w:t xml:space="preserve"> Perkins, P</w:t>
      </w:r>
      <w:r>
        <w:rPr>
          <w:sz w:val="20"/>
        </w:rPr>
        <w:t>.</w:t>
      </w:r>
      <w:r w:rsidRPr="00313117">
        <w:rPr>
          <w:sz w:val="20"/>
        </w:rPr>
        <w:t xml:space="preserve"> Beale, S</w:t>
      </w:r>
      <w:r>
        <w:rPr>
          <w:sz w:val="20"/>
        </w:rPr>
        <w:t xml:space="preserve">. </w:t>
      </w:r>
      <w:r w:rsidRPr="00313117">
        <w:rPr>
          <w:sz w:val="20"/>
        </w:rPr>
        <w:t>Pollock, &amp; C</w:t>
      </w:r>
      <w:r>
        <w:rPr>
          <w:sz w:val="20"/>
        </w:rPr>
        <w:t xml:space="preserve">. </w:t>
      </w:r>
      <w:r w:rsidRPr="00313117">
        <w:rPr>
          <w:sz w:val="20"/>
        </w:rPr>
        <w:t xml:space="preserve"> </w:t>
      </w:r>
      <w:proofErr w:type="spellStart"/>
      <w:r w:rsidRPr="00313117">
        <w:rPr>
          <w:sz w:val="20"/>
        </w:rPr>
        <w:t>Wieman</w:t>
      </w:r>
      <w:proofErr w:type="spellEnd"/>
      <w:r w:rsidRPr="00313117">
        <w:rPr>
          <w:sz w:val="20"/>
        </w:rPr>
        <w:t>, J</w:t>
      </w:r>
      <w:r>
        <w:rPr>
          <w:sz w:val="20"/>
        </w:rPr>
        <w:t xml:space="preserve">. </w:t>
      </w:r>
      <w:r w:rsidRPr="00313117">
        <w:rPr>
          <w:sz w:val="20"/>
        </w:rPr>
        <w:t>Coll</w:t>
      </w:r>
      <w:r>
        <w:rPr>
          <w:sz w:val="20"/>
        </w:rPr>
        <w:t>. Sci.</w:t>
      </w:r>
      <w:r w:rsidRPr="00313117">
        <w:rPr>
          <w:sz w:val="20"/>
        </w:rPr>
        <w:t xml:space="preserve"> Teaching, </w:t>
      </w:r>
      <w:r w:rsidRPr="00313117">
        <w:rPr>
          <w:b/>
          <w:sz w:val="20"/>
        </w:rPr>
        <w:t>40</w:t>
      </w:r>
      <w:r w:rsidRPr="00313117">
        <w:rPr>
          <w:sz w:val="20"/>
        </w:rPr>
        <w:t>, pp. 24-30 (2011).</w:t>
      </w:r>
    </w:p>
    <w:p w:rsidR="00F67DB6" w:rsidRDefault="00F67DB6" w:rsidP="00F67DB6">
      <w:pPr>
        <w:rPr>
          <w:sz w:val="20"/>
        </w:rPr>
      </w:pPr>
      <w:r>
        <w:rPr>
          <w:sz w:val="20"/>
        </w:rPr>
        <w:br w:type="page"/>
      </w:r>
    </w:p>
    <w:p w:rsidR="00922F15" w:rsidRDefault="00D4080A"/>
    <w:sectPr w:rsidR="00922F15" w:rsidSect="00BD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77F"/>
    <w:multiLevelType w:val="hybridMultilevel"/>
    <w:tmpl w:val="2DC412D2"/>
    <w:lvl w:ilvl="0" w:tplc="681ED24E">
      <w:numFmt w:val="bullet"/>
      <w:lvlText w:val=""/>
      <w:lvlJc w:val="left"/>
      <w:pPr>
        <w:ind w:left="671" w:hanging="288"/>
      </w:pPr>
      <w:rPr>
        <w:rFonts w:ascii="Wingdings" w:eastAsia="Wingdings" w:hAnsi="Wingdings" w:cs="Wingdings" w:hint="default"/>
        <w:w w:val="100"/>
        <w:sz w:val="22"/>
        <w:szCs w:val="22"/>
      </w:rPr>
    </w:lvl>
    <w:lvl w:ilvl="1" w:tplc="AA4A76D8">
      <w:numFmt w:val="bullet"/>
      <w:lvlText w:val="•"/>
      <w:lvlJc w:val="left"/>
      <w:pPr>
        <w:ind w:left="1726" w:hanging="288"/>
      </w:pPr>
      <w:rPr>
        <w:rFonts w:hint="default"/>
      </w:rPr>
    </w:lvl>
    <w:lvl w:ilvl="2" w:tplc="A68AA078">
      <w:numFmt w:val="bullet"/>
      <w:lvlText w:val="•"/>
      <w:lvlJc w:val="left"/>
      <w:pPr>
        <w:ind w:left="2772" w:hanging="288"/>
      </w:pPr>
      <w:rPr>
        <w:rFonts w:hint="default"/>
      </w:rPr>
    </w:lvl>
    <w:lvl w:ilvl="3" w:tplc="B65A51A4">
      <w:numFmt w:val="bullet"/>
      <w:lvlText w:val="•"/>
      <w:lvlJc w:val="left"/>
      <w:pPr>
        <w:ind w:left="3818" w:hanging="288"/>
      </w:pPr>
      <w:rPr>
        <w:rFonts w:hint="default"/>
      </w:rPr>
    </w:lvl>
    <w:lvl w:ilvl="4" w:tplc="95DCAD88">
      <w:numFmt w:val="bullet"/>
      <w:lvlText w:val="•"/>
      <w:lvlJc w:val="left"/>
      <w:pPr>
        <w:ind w:left="4864" w:hanging="288"/>
      </w:pPr>
      <w:rPr>
        <w:rFonts w:hint="default"/>
      </w:rPr>
    </w:lvl>
    <w:lvl w:ilvl="5" w:tplc="A5202792">
      <w:numFmt w:val="bullet"/>
      <w:lvlText w:val="•"/>
      <w:lvlJc w:val="left"/>
      <w:pPr>
        <w:ind w:left="5910" w:hanging="288"/>
      </w:pPr>
      <w:rPr>
        <w:rFonts w:hint="default"/>
      </w:rPr>
    </w:lvl>
    <w:lvl w:ilvl="6" w:tplc="6FD4B3F8">
      <w:numFmt w:val="bullet"/>
      <w:lvlText w:val="•"/>
      <w:lvlJc w:val="left"/>
      <w:pPr>
        <w:ind w:left="6956" w:hanging="288"/>
      </w:pPr>
      <w:rPr>
        <w:rFonts w:hint="default"/>
      </w:rPr>
    </w:lvl>
    <w:lvl w:ilvl="7" w:tplc="C354E5EA">
      <w:numFmt w:val="bullet"/>
      <w:lvlText w:val="•"/>
      <w:lvlJc w:val="left"/>
      <w:pPr>
        <w:ind w:left="8002" w:hanging="288"/>
      </w:pPr>
      <w:rPr>
        <w:rFonts w:hint="default"/>
      </w:rPr>
    </w:lvl>
    <w:lvl w:ilvl="8" w:tplc="FB2ECF86">
      <w:numFmt w:val="bullet"/>
      <w:lvlText w:val="•"/>
      <w:lvlJc w:val="left"/>
      <w:pPr>
        <w:ind w:left="9048" w:hanging="288"/>
      </w:pPr>
      <w:rPr>
        <w:rFonts w:hint="default"/>
      </w:rPr>
    </w:lvl>
  </w:abstractNum>
  <w:abstractNum w:abstractNumId="1" w15:restartNumberingAfterBreak="0">
    <w:nsid w:val="72B85D24"/>
    <w:multiLevelType w:val="hybridMultilevel"/>
    <w:tmpl w:val="FA8676D6"/>
    <w:lvl w:ilvl="0" w:tplc="6EFE662C">
      <w:start w:val="1"/>
      <w:numFmt w:val="lowerLetter"/>
      <w:lvlText w:val="%1)"/>
      <w:lvlJc w:val="left"/>
      <w:pPr>
        <w:ind w:left="311" w:hanging="216"/>
      </w:pPr>
      <w:rPr>
        <w:rFonts w:ascii="Calibri" w:eastAsia="Calibri" w:hAnsi="Calibri" w:cs="Calibri" w:hint="default"/>
        <w:w w:val="99"/>
        <w:sz w:val="20"/>
        <w:szCs w:val="20"/>
      </w:rPr>
    </w:lvl>
    <w:lvl w:ilvl="1" w:tplc="367CBFC8">
      <w:numFmt w:val="bullet"/>
      <w:lvlText w:val="•"/>
      <w:lvlJc w:val="left"/>
      <w:pPr>
        <w:ind w:left="1361" w:hanging="216"/>
      </w:pPr>
      <w:rPr>
        <w:rFonts w:hint="default"/>
      </w:rPr>
    </w:lvl>
    <w:lvl w:ilvl="2" w:tplc="D87E1C9C">
      <w:numFmt w:val="bullet"/>
      <w:lvlText w:val="•"/>
      <w:lvlJc w:val="left"/>
      <w:pPr>
        <w:ind w:left="2402" w:hanging="216"/>
      </w:pPr>
      <w:rPr>
        <w:rFonts w:hint="default"/>
      </w:rPr>
    </w:lvl>
    <w:lvl w:ilvl="3" w:tplc="FF04D68E">
      <w:numFmt w:val="bullet"/>
      <w:lvlText w:val="•"/>
      <w:lvlJc w:val="left"/>
      <w:pPr>
        <w:ind w:left="3443" w:hanging="216"/>
      </w:pPr>
      <w:rPr>
        <w:rFonts w:hint="default"/>
      </w:rPr>
    </w:lvl>
    <w:lvl w:ilvl="4" w:tplc="98C4390C">
      <w:numFmt w:val="bullet"/>
      <w:lvlText w:val="•"/>
      <w:lvlJc w:val="left"/>
      <w:pPr>
        <w:ind w:left="4485" w:hanging="216"/>
      </w:pPr>
      <w:rPr>
        <w:rFonts w:hint="default"/>
      </w:rPr>
    </w:lvl>
    <w:lvl w:ilvl="5" w:tplc="1214DBF8">
      <w:numFmt w:val="bullet"/>
      <w:lvlText w:val="•"/>
      <w:lvlJc w:val="left"/>
      <w:pPr>
        <w:ind w:left="5526" w:hanging="216"/>
      </w:pPr>
      <w:rPr>
        <w:rFonts w:hint="default"/>
      </w:rPr>
    </w:lvl>
    <w:lvl w:ilvl="6" w:tplc="7756C226">
      <w:numFmt w:val="bullet"/>
      <w:lvlText w:val="•"/>
      <w:lvlJc w:val="left"/>
      <w:pPr>
        <w:ind w:left="6567" w:hanging="216"/>
      </w:pPr>
      <w:rPr>
        <w:rFonts w:hint="default"/>
      </w:rPr>
    </w:lvl>
    <w:lvl w:ilvl="7" w:tplc="C76CFA5C">
      <w:numFmt w:val="bullet"/>
      <w:lvlText w:val="•"/>
      <w:lvlJc w:val="left"/>
      <w:pPr>
        <w:ind w:left="7608" w:hanging="216"/>
      </w:pPr>
      <w:rPr>
        <w:rFonts w:hint="default"/>
      </w:rPr>
    </w:lvl>
    <w:lvl w:ilvl="8" w:tplc="43CAF7D2">
      <w:numFmt w:val="bullet"/>
      <w:lvlText w:val="•"/>
      <w:lvlJc w:val="left"/>
      <w:pPr>
        <w:ind w:left="8650" w:hanging="216"/>
      </w:pPr>
      <w:rPr>
        <w:rFonts w:hint="default"/>
      </w:rPr>
    </w:lvl>
  </w:abstractNum>
  <w:abstractNum w:abstractNumId="2" w15:restartNumberingAfterBreak="0">
    <w:nsid w:val="7B9003B5"/>
    <w:multiLevelType w:val="hybridMultilevel"/>
    <w:tmpl w:val="DEF03DD0"/>
    <w:lvl w:ilvl="0" w:tplc="B1A45CE8">
      <w:start w:val="1"/>
      <w:numFmt w:val="lowerLetter"/>
      <w:lvlText w:val="%1)"/>
      <w:lvlJc w:val="left"/>
      <w:pPr>
        <w:ind w:left="311" w:hanging="216"/>
      </w:pPr>
      <w:rPr>
        <w:rFonts w:ascii="Calibri" w:eastAsia="Calibri" w:hAnsi="Calibri" w:cs="Calibri" w:hint="default"/>
        <w:w w:val="99"/>
        <w:sz w:val="20"/>
        <w:szCs w:val="20"/>
      </w:rPr>
    </w:lvl>
    <w:lvl w:ilvl="1" w:tplc="B658F49E">
      <w:numFmt w:val="bullet"/>
      <w:lvlText w:val="•"/>
      <w:lvlJc w:val="left"/>
      <w:pPr>
        <w:ind w:left="1361" w:hanging="216"/>
      </w:pPr>
      <w:rPr>
        <w:rFonts w:hint="default"/>
      </w:rPr>
    </w:lvl>
    <w:lvl w:ilvl="2" w:tplc="E8D831B0">
      <w:numFmt w:val="bullet"/>
      <w:lvlText w:val="•"/>
      <w:lvlJc w:val="left"/>
      <w:pPr>
        <w:ind w:left="2402" w:hanging="216"/>
      </w:pPr>
      <w:rPr>
        <w:rFonts w:hint="default"/>
      </w:rPr>
    </w:lvl>
    <w:lvl w:ilvl="3" w:tplc="79CC273E">
      <w:numFmt w:val="bullet"/>
      <w:lvlText w:val="•"/>
      <w:lvlJc w:val="left"/>
      <w:pPr>
        <w:ind w:left="3443" w:hanging="216"/>
      </w:pPr>
      <w:rPr>
        <w:rFonts w:hint="default"/>
      </w:rPr>
    </w:lvl>
    <w:lvl w:ilvl="4" w:tplc="F0EAC192">
      <w:numFmt w:val="bullet"/>
      <w:lvlText w:val="•"/>
      <w:lvlJc w:val="left"/>
      <w:pPr>
        <w:ind w:left="4485" w:hanging="216"/>
      </w:pPr>
      <w:rPr>
        <w:rFonts w:hint="default"/>
      </w:rPr>
    </w:lvl>
    <w:lvl w:ilvl="5" w:tplc="9A948D42">
      <w:numFmt w:val="bullet"/>
      <w:lvlText w:val="•"/>
      <w:lvlJc w:val="left"/>
      <w:pPr>
        <w:ind w:left="5526" w:hanging="216"/>
      </w:pPr>
      <w:rPr>
        <w:rFonts w:hint="default"/>
      </w:rPr>
    </w:lvl>
    <w:lvl w:ilvl="6" w:tplc="A8B48494">
      <w:numFmt w:val="bullet"/>
      <w:lvlText w:val="•"/>
      <w:lvlJc w:val="left"/>
      <w:pPr>
        <w:ind w:left="6567" w:hanging="216"/>
      </w:pPr>
      <w:rPr>
        <w:rFonts w:hint="default"/>
      </w:rPr>
    </w:lvl>
    <w:lvl w:ilvl="7" w:tplc="8F1A7612">
      <w:numFmt w:val="bullet"/>
      <w:lvlText w:val="•"/>
      <w:lvlJc w:val="left"/>
      <w:pPr>
        <w:ind w:left="7608" w:hanging="216"/>
      </w:pPr>
      <w:rPr>
        <w:rFonts w:hint="default"/>
      </w:rPr>
    </w:lvl>
    <w:lvl w:ilvl="8" w:tplc="132276E6">
      <w:numFmt w:val="bullet"/>
      <w:lvlText w:val="•"/>
      <w:lvlJc w:val="left"/>
      <w:pPr>
        <w:ind w:left="8650" w:hanging="21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B6"/>
    <w:rsid w:val="000417B1"/>
    <w:rsid w:val="002D4683"/>
    <w:rsid w:val="00325190"/>
    <w:rsid w:val="00360233"/>
    <w:rsid w:val="00425386"/>
    <w:rsid w:val="004A4937"/>
    <w:rsid w:val="005A0404"/>
    <w:rsid w:val="00697E4C"/>
    <w:rsid w:val="007A1760"/>
    <w:rsid w:val="00B05969"/>
    <w:rsid w:val="00BD47AC"/>
    <w:rsid w:val="00D4080A"/>
    <w:rsid w:val="00D53BF5"/>
    <w:rsid w:val="00DD23B1"/>
    <w:rsid w:val="00F57E4F"/>
    <w:rsid w:val="00F6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4988C"/>
  <w14:defaultImageDpi w14:val="32767"/>
  <w15:chartTrackingRefBased/>
  <w15:docId w15:val="{927023F6-C1E5-B44D-AD88-7DCF91F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67DB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F67DB6"/>
    <w:pPr>
      <w:spacing w:before="19" w:line="340" w:lineRule="exact"/>
      <w:ind w:left="1369" w:right="134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7DB6"/>
    <w:rPr>
      <w:rFonts w:ascii="Calibri" w:eastAsia="Calibri" w:hAnsi="Calibri" w:cs="Calibri"/>
      <w:b/>
      <w:bCs/>
      <w:sz w:val="28"/>
      <w:szCs w:val="28"/>
    </w:rPr>
  </w:style>
  <w:style w:type="paragraph" w:styleId="BodyText">
    <w:name w:val="Body Text"/>
    <w:basedOn w:val="Normal"/>
    <w:link w:val="BodyTextChar"/>
    <w:uiPriority w:val="1"/>
    <w:qFormat/>
    <w:rsid w:val="00F67DB6"/>
  </w:style>
  <w:style w:type="character" w:customStyle="1" w:styleId="BodyTextChar">
    <w:name w:val="Body Text Char"/>
    <w:basedOn w:val="DefaultParagraphFont"/>
    <w:link w:val="BodyText"/>
    <w:uiPriority w:val="1"/>
    <w:rsid w:val="00F67DB6"/>
    <w:rPr>
      <w:rFonts w:ascii="Calibri" w:eastAsia="Calibri" w:hAnsi="Calibri" w:cs="Calibri"/>
      <w:sz w:val="22"/>
      <w:szCs w:val="22"/>
    </w:rPr>
  </w:style>
  <w:style w:type="character" w:styleId="Hyperlink">
    <w:name w:val="Hyperlink"/>
    <w:basedOn w:val="DefaultParagraphFont"/>
    <w:uiPriority w:val="99"/>
    <w:unhideWhenUsed/>
    <w:rsid w:val="00F67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robiology.publish.csiro.au/?act=view_file&amp;amp;file_id=MA10035.pdf" TargetMode="External"/><Relationship Id="rId5" Type="http://schemas.openxmlformats.org/officeDocument/2006/relationships/hyperlink" Target="http://www.cwsei.ubc.ca/resources/learn_goals.ht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Osterberg</dc:creator>
  <cp:keywords/>
  <dc:description/>
  <cp:lastModifiedBy>Lars Osterberg</cp:lastModifiedBy>
  <cp:revision>2</cp:revision>
  <dcterms:created xsi:type="dcterms:W3CDTF">2019-10-29T22:09:00Z</dcterms:created>
  <dcterms:modified xsi:type="dcterms:W3CDTF">2019-10-29T22:28:00Z</dcterms:modified>
</cp:coreProperties>
</file>