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F3" w:rsidRDefault="009F64F3" w:rsidP="009F64F3">
      <w:pPr>
        <w:pBdr>
          <w:bottom w:val="single" w:sz="12" w:space="4" w:color="auto"/>
        </w:pBdr>
        <w:rPr>
          <w:rFonts w:ascii="Arial" w:eastAsia="Batang" w:hAnsi="Arial" w:cs="Arial"/>
          <w:color w:val="76923C" w:themeColor="accent3" w:themeShade="BF"/>
          <w:sz w:val="28"/>
          <w:u w:val="single"/>
        </w:rPr>
      </w:pPr>
      <w:bookmarkStart w:id="0" w:name="_GoBack"/>
      <w:bookmarkEnd w:id="0"/>
      <w:r>
        <w:rPr>
          <w:rFonts w:ascii="Arial" w:eastAsia="Batang" w:hAnsi="Arial" w:cs="Arial"/>
          <w:smallCaps/>
          <w:color w:val="76923C" w:themeColor="accent3" w:themeShade="BF"/>
          <w:sz w:val="28"/>
          <w:szCs w:val="28"/>
        </w:rPr>
        <w:t xml:space="preserve">  </w:t>
      </w:r>
      <w:r>
        <w:rPr>
          <w:rFonts w:ascii="Arial" w:eastAsia="Batang" w:hAnsi="Arial" w:cs="Arial"/>
          <w:smallCaps/>
          <w:color w:val="76923C" w:themeColor="accent3" w:themeShade="BF"/>
          <w:sz w:val="28"/>
          <w:szCs w:val="28"/>
        </w:rPr>
        <w:tab/>
      </w:r>
      <w:r>
        <w:rPr>
          <w:rFonts w:ascii="Arial" w:eastAsia="Batang" w:hAnsi="Arial" w:cs="Arial"/>
          <w:smallCaps/>
          <w:color w:val="76923C" w:themeColor="accent3" w:themeShade="BF"/>
          <w:sz w:val="28"/>
          <w:szCs w:val="28"/>
        </w:rPr>
        <w:tab/>
      </w:r>
      <w:r>
        <w:rPr>
          <w:rFonts w:ascii="Arial" w:eastAsia="Batang" w:hAnsi="Arial" w:cs="Arial"/>
          <w:smallCaps/>
          <w:color w:val="76923C" w:themeColor="accent3" w:themeShade="BF"/>
          <w:sz w:val="28"/>
          <w:szCs w:val="28"/>
        </w:rPr>
        <w:tab/>
      </w:r>
      <w:r w:rsidR="007021CF">
        <w:rPr>
          <w:noProof/>
        </w:rPr>
        <w:drawing>
          <wp:inline distT="0" distB="0" distL="0" distR="0" wp14:anchorId="56EC5E19" wp14:editId="44E2C9B6">
            <wp:extent cx="752475" cy="1047750"/>
            <wp:effectExtent l="0" t="0" r="9525" b="0"/>
            <wp:docPr id="1" name="Picture 1" descr="R:\FrontOffice\transportation information\mi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FrontOffice\transportation information\mini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2DB">
        <w:rPr>
          <w:rFonts w:ascii="Arial" w:eastAsia="Batang" w:hAnsi="Arial" w:cs="Arial"/>
          <w:smallCaps/>
          <w:color w:val="76923C" w:themeColor="accent3" w:themeShade="BF"/>
          <w:sz w:val="28"/>
          <w:szCs w:val="28"/>
        </w:rPr>
        <w:t xml:space="preserve">  </w:t>
      </w:r>
      <w:r w:rsidR="006A22DB" w:rsidRPr="006A22DB">
        <w:rPr>
          <w:rFonts w:ascii="Arial" w:eastAsia="Batang" w:hAnsi="Arial" w:cs="Arial"/>
          <w:b/>
          <w:smallCaps/>
          <w:color w:val="76923C" w:themeColor="accent3" w:themeShade="BF"/>
          <w:sz w:val="28"/>
          <w:szCs w:val="28"/>
        </w:rPr>
        <w:t>Urinary Tract Infection Flip</w:t>
      </w:r>
    </w:p>
    <w:p w:rsidR="009F64F3" w:rsidRPr="009F64F3" w:rsidRDefault="009F64F3" w:rsidP="009F64F3">
      <w:pPr>
        <w:rPr>
          <w:rFonts w:ascii="Arial" w:eastAsia="Batang" w:hAnsi="Arial" w:cs="Arial"/>
          <w:color w:val="76923C" w:themeColor="accent3" w:themeShade="BF"/>
          <w:sz w:val="28"/>
          <w:u w:val="single"/>
        </w:rPr>
      </w:pPr>
    </w:p>
    <w:p w:rsidR="009B7C53" w:rsidRPr="0060687F" w:rsidRDefault="009B7C53" w:rsidP="009B7C53">
      <w:pPr>
        <w:pStyle w:val="Subtitle"/>
        <w:spacing w:line="264" w:lineRule="auto"/>
        <w:rPr>
          <w:rFonts w:ascii="Arial" w:hAnsi="Arial" w:cs="Arial"/>
          <w:b/>
          <w:smallCaps/>
          <w:color w:val="548DD4" w:themeColor="text2" w:themeTint="99"/>
          <w:u w:val="none"/>
        </w:rPr>
      </w:pPr>
      <w:r w:rsidRPr="0060687F">
        <w:rPr>
          <w:rFonts w:ascii="Arial" w:hAnsi="Arial" w:cs="Arial"/>
          <w:b/>
          <w:smallCaps/>
          <w:color w:val="548DD4" w:themeColor="text2" w:themeTint="99"/>
          <w:u w:val="none"/>
        </w:rPr>
        <w:t>Subjective</w:t>
      </w:r>
    </w:p>
    <w:p w:rsidR="009B7C53" w:rsidRPr="00770FC4" w:rsidRDefault="009B7C53" w:rsidP="009B7C53">
      <w:pPr>
        <w:numPr>
          <w:ilvl w:val="0"/>
          <w:numId w:val="5"/>
        </w:numPr>
        <w:spacing w:line="264" w:lineRule="auto"/>
        <w:rPr>
          <w:rFonts w:ascii="Arial" w:hAnsi="Arial" w:cs="Arial"/>
          <w:sz w:val="20"/>
          <w:szCs w:val="20"/>
        </w:rPr>
      </w:pPr>
      <w:r w:rsidRPr="00770FC4">
        <w:rPr>
          <w:rFonts w:ascii="Arial" w:hAnsi="Arial" w:cs="Arial"/>
          <w:sz w:val="20"/>
          <w:szCs w:val="20"/>
        </w:rPr>
        <w:t>Frequency, urgency, dysuria, hematuria, pyuria, fever and chills, nausea or vomiting.</w:t>
      </w:r>
    </w:p>
    <w:p w:rsidR="00750652" w:rsidRPr="00750652" w:rsidRDefault="009B7C53" w:rsidP="00750652">
      <w:pPr>
        <w:numPr>
          <w:ilvl w:val="0"/>
          <w:numId w:val="5"/>
        </w:numPr>
        <w:spacing w:line="264" w:lineRule="auto"/>
        <w:rPr>
          <w:rFonts w:ascii="Arial" w:hAnsi="Arial" w:cs="Arial"/>
          <w:sz w:val="20"/>
          <w:szCs w:val="20"/>
        </w:rPr>
      </w:pPr>
      <w:r w:rsidRPr="00770FC4">
        <w:rPr>
          <w:rFonts w:ascii="Arial" w:hAnsi="Arial" w:cs="Arial"/>
          <w:sz w:val="20"/>
          <w:szCs w:val="20"/>
        </w:rPr>
        <w:t>History of recurrent or previous bladder infections, urinary tract surgery, renal stones or other problems</w:t>
      </w:r>
    </w:p>
    <w:p w:rsidR="00750652" w:rsidRDefault="009B7C53" w:rsidP="009B7C53">
      <w:pPr>
        <w:numPr>
          <w:ilvl w:val="0"/>
          <w:numId w:val="5"/>
        </w:numPr>
        <w:spacing w:line="264" w:lineRule="auto"/>
        <w:rPr>
          <w:rFonts w:ascii="Arial" w:hAnsi="Arial" w:cs="Arial"/>
          <w:sz w:val="20"/>
          <w:szCs w:val="20"/>
        </w:rPr>
      </w:pPr>
      <w:r w:rsidRPr="00770FC4">
        <w:rPr>
          <w:rFonts w:ascii="Arial" w:hAnsi="Arial" w:cs="Arial"/>
          <w:sz w:val="20"/>
          <w:szCs w:val="20"/>
        </w:rPr>
        <w:t xml:space="preserve">Document allergies to </w:t>
      </w:r>
      <w:r w:rsidR="00750652">
        <w:rPr>
          <w:rFonts w:ascii="Arial" w:hAnsi="Arial" w:cs="Arial"/>
          <w:sz w:val="20"/>
          <w:szCs w:val="20"/>
        </w:rPr>
        <w:t xml:space="preserve">antibiotics and any other </w:t>
      </w:r>
      <w:r w:rsidRPr="00770FC4">
        <w:rPr>
          <w:rFonts w:ascii="Arial" w:hAnsi="Arial" w:cs="Arial"/>
          <w:sz w:val="20"/>
          <w:szCs w:val="20"/>
        </w:rPr>
        <w:t>medications</w:t>
      </w:r>
    </w:p>
    <w:p w:rsidR="009B7C53" w:rsidRPr="00770FC4" w:rsidRDefault="00750652" w:rsidP="009B7C53">
      <w:pPr>
        <w:numPr>
          <w:ilvl w:val="0"/>
          <w:numId w:val="5"/>
        </w:num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 other </w:t>
      </w:r>
      <w:r w:rsidR="009B7C53" w:rsidRPr="00770FC4">
        <w:rPr>
          <w:rFonts w:ascii="Arial" w:hAnsi="Arial" w:cs="Arial"/>
          <w:sz w:val="20"/>
          <w:szCs w:val="20"/>
        </w:rPr>
        <w:t>medical problems such as diabetes, etc.</w:t>
      </w:r>
    </w:p>
    <w:p w:rsidR="009B7C53" w:rsidRPr="00770FC4" w:rsidRDefault="009B7C53" w:rsidP="009B7C53">
      <w:pPr>
        <w:numPr>
          <w:ilvl w:val="0"/>
          <w:numId w:val="5"/>
        </w:numPr>
        <w:spacing w:line="264" w:lineRule="auto"/>
        <w:rPr>
          <w:rFonts w:ascii="Arial" w:hAnsi="Arial" w:cs="Arial"/>
          <w:sz w:val="20"/>
          <w:szCs w:val="20"/>
        </w:rPr>
      </w:pPr>
      <w:r w:rsidRPr="00770FC4">
        <w:rPr>
          <w:rFonts w:ascii="Arial" w:hAnsi="Arial" w:cs="Arial"/>
          <w:sz w:val="20"/>
          <w:szCs w:val="20"/>
        </w:rPr>
        <w:t>Document last menstrual period and contraceptive method for women</w:t>
      </w:r>
    </w:p>
    <w:p w:rsidR="009B7C53" w:rsidRPr="00770FC4" w:rsidRDefault="009B7C53" w:rsidP="009B7C53">
      <w:pPr>
        <w:spacing w:line="264" w:lineRule="auto"/>
        <w:rPr>
          <w:rFonts w:ascii="Arial" w:hAnsi="Arial" w:cs="Arial"/>
          <w:b/>
          <w:smallCaps/>
          <w:sz w:val="20"/>
          <w:szCs w:val="20"/>
        </w:rPr>
      </w:pPr>
    </w:p>
    <w:p w:rsidR="009B7C53" w:rsidRPr="0060687F" w:rsidRDefault="009B7C53" w:rsidP="009B7C53">
      <w:pPr>
        <w:spacing w:line="264" w:lineRule="auto"/>
        <w:rPr>
          <w:rFonts w:ascii="Arial" w:hAnsi="Arial" w:cs="Arial"/>
          <w:b/>
          <w:smallCaps/>
          <w:color w:val="548DD4" w:themeColor="text2" w:themeTint="99"/>
        </w:rPr>
      </w:pPr>
      <w:r w:rsidRPr="0060687F">
        <w:rPr>
          <w:rFonts w:ascii="Arial" w:hAnsi="Arial" w:cs="Arial"/>
          <w:b/>
          <w:smallCaps/>
          <w:color w:val="548DD4" w:themeColor="text2" w:themeTint="99"/>
        </w:rPr>
        <w:t>Objective</w:t>
      </w:r>
    </w:p>
    <w:p w:rsidR="009B7C53" w:rsidRPr="00770FC4" w:rsidRDefault="009B7C53" w:rsidP="009B7C53">
      <w:pPr>
        <w:numPr>
          <w:ilvl w:val="0"/>
          <w:numId w:val="1"/>
        </w:numPr>
        <w:spacing w:line="264" w:lineRule="auto"/>
        <w:rPr>
          <w:rFonts w:ascii="Arial" w:hAnsi="Arial" w:cs="Arial"/>
          <w:sz w:val="20"/>
          <w:szCs w:val="20"/>
        </w:rPr>
      </w:pPr>
      <w:r w:rsidRPr="00770FC4">
        <w:rPr>
          <w:rFonts w:ascii="Arial" w:hAnsi="Arial" w:cs="Arial"/>
          <w:sz w:val="20"/>
          <w:szCs w:val="20"/>
        </w:rPr>
        <w:t>Document vital signs and absence of fever</w:t>
      </w:r>
    </w:p>
    <w:p w:rsidR="009B7C53" w:rsidRPr="00770FC4" w:rsidRDefault="009B7C53" w:rsidP="009B7C53">
      <w:pPr>
        <w:numPr>
          <w:ilvl w:val="0"/>
          <w:numId w:val="1"/>
        </w:numPr>
        <w:spacing w:line="264" w:lineRule="auto"/>
        <w:rPr>
          <w:rFonts w:ascii="Arial" w:hAnsi="Arial" w:cs="Arial"/>
          <w:sz w:val="20"/>
          <w:szCs w:val="20"/>
        </w:rPr>
      </w:pPr>
      <w:r w:rsidRPr="00770FC4">
        <w:rPr>
          <w:rFonts w:ascii="Arial" w:hAnsi="Arial" w:cs="Arial"/>
          <w:sz w:val="20"/>
          <w:szCs w:val="20"/>
        </w:rPr>
        <w:t>Check for no CVA tenderness, and that bowel sounds are normal and abdomen is non-tender</w:t>
      </w:r>
    </w:p>
    <w:p w:rsidR="009B7C53" w:rsidRPr="00770FC4" w:rsidRDefault="009B7C53" w:rsidP="009B7C53">
      <w:pPr>
        <w:numPr>
          <w:ilvl w:val="0"/>
          <w:numId w:val="1"/>
        </w:numPr>
        <w:spacing w:line="264" w:lineRule="auto"/>
        <w:rPr>
          <w:rFonts w:ascii="Arial" w:hAnsi="Arial" w:cs="Arial"/>
          <w:sz w:val="20"/>
          <w:szCs w:val="20"/>
        </w:rPr>
      </w:pPr>
      <w:r w:rsidRPr="00770FC4">
        <w:rPr>
          <w:rFonts w:ascii="Arial" w:hAnsi="Arial" w:cs="Arial"/>
          <w:sz w:val="20"/>
          <w:szCs w:val="20"/>
        </w:rPr>
        <w:t>In-house office service: UA Dipstick, V72.6 Laboratory Examination for leukocytes, nitrites, and/or hematuria</w:t>
      </w:r>
    </w:p>
    <w:p w:rsidR="009B7C53" w:rsidRPr="00770FC4" w:rsidRDefault="009B7C53" w:rsidP="009B7C53">
      <w:pPr>
        <w:numPr>
          <w:ilvl w:val="0"/>
          <w:numId w:val="1"/>
        </w:numPr>
        <w:spacing w:line="264" w:lineRule="auto"/>
        <w:rPr>
          <w:rFonts w:ascii="Arial" w:hAnsi="Arial" w:cs="Arial"/>
          <w:sz w:val="20"/>
          <w:szCs w:val="20"/>
        </w:rPr>
      </w:pPr>
      <w:r w:rsidRPr="00770FC4">
        <w:rPr>
          <w:rFonts w:ascii="Arial" w:hAnsi="Arial" w:cs="Arial"/>
          <w:sz w:val="20"/>
          <w:szCs w:val="20"/>
        </w:rPr>
        <w:t>Prepare and order “Culture, Urine” if indicated, (urine culture kit, grey top tube).</w:t>
      </w:r>
    </w:p>
    <w:p w:rsidR="009B7C53" w:rsidRPr="00770FC4" w:rsidRDefault="009B7C53" w:rsidP="009B7C53">
      <w:pPr>
        <w:spacing w:line="264" w:lineRule="auto"/>
        <w:rPr>
          <w:rFonts w:ascii="Arial" w:hAnsi="Arial" w:cs="Arial"/>
          <w:b/>
          <w:smallCaps/>
          <w:sz w:val="20"/>
          <w:szCs w:val="20"/>
        </w:rPr>
      </w:pPr>
    </w:p>
    <w:p w:rsidR="009B7C53" w:rsidRPr="0060687F" w:rsidRDefault="007021CF" w:rsidP="009B7C53">
      <w:pPr>
        <w:spacing w:line="264" w:lineRule="auto"/>
        <w:rPr>
          <w:rFonts w:ascii="Arial" w:hAnsi="Arial" w:cs="Arial"/>
          <w:b/>
          <w:smallCaps/>
          <w:color w:val="548DD4" w:themeColor="text2" w:themeTint="99"/>
        </w:rPr>
      </w:pPr>
      <w:r w:rsidRPr="0060687F">
        <w:rPr>
          <w:rFonts w:ascii="Arial" w:hAnsi="Arial" w:cs="Arial"/>
          <w:b/>
          <w:smallCaps/>
          <w:color w:val="548DD4" w:themeColor="text2" w:themeTint="99"/>
        </w:rPr>
        <w:t>ICD-10 Code</w:t>
      </w:r>
      <w:r w:rsidR="009B7C53" w:rsidRPr="0060687F">
        <w:rPr>
          <w:rFonts w:ascii="Arial" w:hAnsi="Arial" w:cs="Arial"/>
          <w:b/>
          <w:smallCaps/>
          <w:color w:val="548DD4" w:themeColor="text2" w:themeTint="99"/>
        </w:rPr>
        <w:t>s</w:t>
      </w:r>
    </w:p>
    <w:p w:rsidR="009B7C53" w:rsidRPr="00770FC4" w:rsidRDefault="009B7C53" w:rsidP="009B7C53">
      <w:pPr>
        <w:pStyle w:val="Title"/>
        <w:numPr>
          <w:ilvl w:val="0"/>
          <w:numId w:val="2"/>
        </w:numPr>
        <w:spacing w:before="20" w:after="20"/>
        <w:jc w:val="left"/>
        <w:rPr>
          <w:rFonts w:ascii="Arial" w:hAnsi="Arial" w:cs="Arial"/>
          <w:b w:val="0"/>
          <w:sz w:val="20"/>
          <w:szCs w:val="20"/>
          <w:u w:val="single"/>
        </w:rPr>
      </w:pPr>
      <w:r w:rsidRPr="00770FC4">
        <w:rPr>
          <w:rFonts w:ascii="Arial" w:hAnsi="Arial" w:cs="Arial"/>
          <w:b w:val="0"/>
          <w:sz w:val="20"/>
          <w:szCs w:val="20"/>
        </w:rPr>
        <w:t xml:space="preserve">Cystitis, Acute, 595.0 </w:t>
      </w:r>
      <w:r w:rsidRPr="00770FC4">
        <w:rPr>
          <w:rFonts w:ascii="Arial" w:hAnsi="Arial" w:cs="Arial"/>
          <w:sz w:val="20"/>
          <w:szCs w:val="20"/>
        </w:rPr>
        <w:t>OR</w:t>
      </w:r>
      <w:r w:rsidRPr="00770FC4">
        <w:rPr>
          <w:rFonts w:ascii="Arial" w:hAnsi="Arial" w:cs="Arial"/>
          <w:b w:val="0"/>
          <w:sz w:val="20"/>
          <w:szCs w:val="20"/>
        </w:rPr>
        <w:t xml:space="preserve"> Urinary Tract Infection, Acute, 599.0 </w:t>
      </w:r>
      <w:r w:rsidRPr="00770FC4">
        <w:rPr>
          <w:rFonts w:ascii="Arial" w:hAnsi="Arial" w:cs="Arial"/>
          <w:b w:val="0"/>
          <w:smallCaps/>
          <w:sz w:val="20"/>
          <w:szCs w:val="20"/>
        </w:rPr>
        <w:t xml:space="preserve"> </w:t>
      </w:r>
    </w:p>
    <w:p w:rsidR="009B7C53" w:rsidRPr="00770FC4" w:rsidRDefault="009B7C53" w:rsidP="009B7C53">
      <w:pPr>
        <w:pStyle w:val="Heading1"/>
        <w:spacing w:line="264" w:lineRule="auto"/>
        <w:rPr>
          <w:rFonts w:ascii="Arial" w:hAnsi="Arial" w:cs="Arial"/>
          <w:b/>
          <w:smallCaps/>
          <w:sz w:val="20"/>
          <w:szCs w:val="20"/>
          <w:u w:val="none"/>
        </w:rPr>
      </w:pPr>
    </w:p>
    <w:p w:rsidR="009B7C53" w:rsidRPr="0060687F" w:rsidRDefault="009B7C53" w:rsidP="009B7C53">
      <w:pPr>
        <w:pStyle w:val="Heading1"/>
        <w:spacing w:line="264" w:lineRule="auto"/>
        <w:rPr>
          <w:rFonts w:ascii="Arial" w:hAnsi="Arial" w:cs="Arial"/>
          <w:b/>
          <w:smallCaps/>
          <w:color w:val="7030A0"/>
          <w:u w:val="none"/>
        </w:rPr>
      </w:pPr>
      <w:r w:rsidRPr="0060687F">
        <w:rPr>
          <w:rFonts w:ascii="Arial" w:hAnsi="Arial" w:cs="Arial"/>
          <w:b/>
          <w:smallCaps/>
          <w:color w:val="7030A0"/>
          <w:u w:val="none"/>
        </w:rPr>
        <w:t>Treatment</w:t>
      </w:r>
    </w:p>
    <w:p w:rsidR="009B7C53" w:rsidRPr="00770FC4" w:rsidRDefault="009B7C53" w:rsidP="009B7C53">
      <w:pPr>
        <w:numPr>
          <w:ilvl w:val="0"/>
          <w:numId w:val="6"/>
        </w:numPr>
        <w:spacing w:before="20" w:after="20"/>
        <w:rPr>
          <w:rFonts w:ascii="Arial" w:hAnsi="Arial" w:cs="Arial"/>
          <w:sz w:val="20"/>
          <w:szCs w:val="20"/>
        </w:rPr>
      </w:pPr>
      <w:r w:rsidRPr="00770FC4">
        <w:rPr>
          <w:rFonts w:ascii="Arial" w:hAnsi="Arial" w:cs="Arial"/>
          <w:sz w:val="20"/>
          <w:szCs w:val="20"/>
        </w:rPr>
        <w:t xml:space="preserve">Consult provider if patient is allergic to antibiotics. </w:t>
      </w:r>
    </w:p>
    <w:p w:rsidR="006A22DB" w:rsidRDefault="006A22DB" w:rsidP="006A22DB">
      <w:pPr>
        <w:spacing w:before="20" w:after="20"/>
        <w:rPr>
          <w:rFonts w:ascii="Arial" w:hAnsi="Arial" w:cs="Arial"/>
          <w:sz w:val="20"/>
          <w:szCs w:val="20"/>
        </w:rPr>
      </w:pPr>
    </w:p>
    <w:p w:rsidR="009B7C53" w:rsidRDefault="009B7C53" w:rsidP="001A1707">
      <w:pPr>
        <w:spacing w:before="20" w:after="20"/>
        <w:ind w:firstLine="720"/>
        <w:rPr>
          <w:rFonts w:ascii="Arial" w:hAnsi="Arial" w:cs="Arial"/>
          <w:b/>
        </w:rPr>
      </w:pPr>
      <w:r w:rsidRPr="00770FC4">
        <w:rPr>
          <w:rFonts w:ascii="Arial" w:hAnsi="Arial" w:cs="Arial"/>
          <w:b/>
        </w:rPr>
        <w:t>Adult Patients</w:t>
      </w:r>
    </w:p>
    <w:p w:rsidR="001A1707" w:rsidRDefault="001A1707" w:rsidP="001A1707">
      <w:pPr>
        <w:spacing w:before="20" w:after="20"/>
        <w:ind w:firstLine="720"/>
        <w:rPr>
          <w:rFonts w:ascii="Arial" w:hAnsi="Arial" w:cs="Arial"/>
          <w:b/>
        </w:rPr>
      </w:pPr>
    </w:p>
    <w:p w:rsidR="001A1707" w:rsidRPr="001A1707" w:rsidRDefault="001A1707" w:rsidP="001A1707">
      <w:pPr>
        <w:pStyle w:val="ListParagraph"/>
        <w:numPr>
          <w:ilvl w:val="2"/>
          <w:numId w:val="6"/>
        </w:numPr>
        <w:spacing w:before="20"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Bactrim DS 1 PO BID x 5 days #10</w:t>
      </w:r>
    </w:p>
    <w:p w:rsidR="001A1707" w:rsidRPr="001A1707" w:rsidRDefault="001A1707" w:rsidP="001A1707">
      <w:pPr>
        <w:pStyle w:val="ListParagraph"/>
        <w:numPr>
          <w:ilvl w:val="2"/>
          <w:numId w:val="6"/>
        </w:numPr>
        <w:spacing w:before="20" w:after="2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Macrobid</w:t>
      </w:r>
      <w:proofErr w:type="spellEnd"/>
      <w:r>
        <w:rPr>
          <w:rFonts w:ascii="Arial" w:hAnsi="Arial" w:cs="Arial"/>
          <w:sz w:val="20"/>
          <w:szCs w:val="20"/>
        </w:rPr>
        <w:t xml:space="preserve"> 1 PO BID x 5 days #10</w:t>
      </w:r>
    </w:p>
    <w:p w:rsidR="001A1707" w:rsidRPr="001A1707" w:rsidRDefault="001A1707" w:rsidP="001A1707">
      <w:pPr>
        <w:pStyle w:val="ListParagraph"/>
        <w:spacing w:before="20" w:after="20"/>
        <w:ind w:left="2160"/>
        <w:rPr>
          <w:rFonts w:ascii="Arial" w:hAnsi="Arial" w:cs="Arial"/>
          <w:b/>
        </w:rPr>
      </w:pPr>
    </w:p>
    <w:p w:rsidR="009B7C53" w:rsidRDefault="009B7C53" w:rsidP="006A22DB">
      <w:pPr>
        <w:spacing w:before="20" w:after="20"/>
        <w:ind w:firstLine="720"/>
        <w:rPr>
          <w:rFonts w:ascii="Arial" w:hAnsi="Arial" w:cs="Arial"/>
          <w:b/>
        </w:rPr>
      </w:pPr>
      <w:r w:rsidRPr="00770FC4">
        <w:rPr>
          <w:rFonts w:ascii="Arial" w:hAnsi="Arial" w:cs="Arial"/>
          <w:b/>
        </w:rPr>
        <w:t>Pediatric Patients</w:t>
      </w:r>
    </w:p>
    <w:p w:rsidR="001A1707" w:rsidRDefault="001A1707" w:rsidP="001A1707">
      <w:pPr>
        <w:spacing w:before="20" w:after="20"/>
        <w:ind w:left="720"/>
        <w:rPr>
          <w:rFonts w:ascii="Arial" w:hAnsi="Arial" w:cs="Arial"/>
          <w:b/>
          <w:sz w:val="20"/>
          <w:szCs w:val="20"/>
        </w:rPr>
      </w:pPr>
    </w:p>
    <w:p w:rsidR="00750652" w:rsidRPr="001A1707" w:rsidRDefault="00750652" w:rsidP="001A1707">
      <w:pPr>
        <w:spacing w:before="20" w:after="2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Consult Provider</w:t>
      </w:r>
    </w:p>
    <w:p w:rsidR="001A1707" w:rsidRPr="00770FC4" w:rsidRDefault="001A1707" w:rsidP="001A1707">
      <w:pPr>
        <w:spacing w:before="20" w:after="20"/>
        <w:rPr>
          <w:rFonts w:ascii="Arial" w:hAnsi="Arial" w:cs="Arial"/>
        </w:rPr>
      </w:pPr>
    </w:p>
    <w:p w:rsidR="009B7C53" w:rsidRPr="00770FC4" w:rsidRDefault="006A22DB" w:rsidP="009B7C53">
      <w:pPr>
        <w:tabs>
          <w:tab w:val="num" w:pos="25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9B7C53" w:rsidRPr="00770FC4">
        <w:rPr>
          <w:rFonts w:ascii="Arial" w:hAnsi="Arial" w:cs="Arial"/>
          <w:b/>
        </w:rPr>
        <w:t>Pregnant Patients</w:t>
      </w:r>
    </w:p>
    <w:p w:rsidR="006A22DB" w:rsidRDefault="006A22DB" w:rsidP="006A22DB">
      <w:pPr>
        <w:spacing w:before="20" w:after="20"/>
        <w:ind w:left="2520"/>
        <w:rPr>
          <w:rFonts w:ascii="Arial" w:hAnsi="Arial" w:cs="Arial"/>
          <w:sz w:val="20"/>
          <w:szCs w:val="20"/>
        </w:rPr>
      </w:pPr>
    </w:p>
    <w:p w:rsidR="009B7C53" w:rsidRPr="00647F91" w:rsidRDefault="009B7C53" w:rsidP="009B7C53">
      <w:pPr>
        <w:numPr>
          <w:ilvl w:val="2"/>
          <w:numId w:val="6"/>
        </w:numPr>
        <w:tabs>
          <w:tab w:val="clear" w:pos="2160"/>
          <w:tab w:val="num" w:pos="2520"/>
        </w:tabs>
        <w:spacing w:before="20" w:after="20"/>
        <w:ind w:left="2520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 xml:space="preserve">**Notify provider if </w:t>
      </w:r>
      <w:proofErr w:type="spellStart"/>
      <w:r w:rsidRPr="009F1154">
        <w:rPr>
          <w:rFonts w:ascii="Arial" w:hAnsi="Arial" w:cs="Arial"/>
          <w:sz w:val="20"/>
          <w:szCs w:val="20"/>
        </w:rPr>
        <w:t>pt</w:t>
      </w:r>
      <w:proofErr w:type="spellEnd"/>
      <w:r w:rsidRPr="009F1154">
        <w:rPr>
          <w:rFonts w:ascii="Arial" w:hAnsi="Arial" w:cs="Arial"/>
          <w:sz w:val="20"/>
          <w:szCs w:val="20"/>
        </w:rPr>
        <w:t xml:space="preserve"> has had &gt;1 positive urine culture during this pregnancy*</w:t>
      </w:r>
      <w:proofErr w:type="gramStart"/>
      <w:r w:rsidRPr="009F1154">
        <w:rPr>
          <w:rFonts w:ascii="Arial" w:hAnsi="Arial" w:cs="Arial"/>
          <w:sz w:val="20"/>
          <w:szCs w:val="20"/>
        </w:rPr>
        <w:t xml:space="preserve">*  </w:t>
      </w:r>
      <w:r w:rsidRPr="009F1154">
        <w:rPr>
          <w:rFonts w:ascii="Arial" w:hAnsi="Arial" w:cs="Arial"/>
          <w:i/>
          <w:sz w:val="20"/>
          <w:szCs w:val="20"/>
          <w:highlight w:val="yellow"/>
        </w:rPr>
        <w:t>If</w:t>
      </w:r>
      <w:proofErr w:type="gramEnd"/>
      <w:r w:rsidRPr="009F1154">
        <w:rPr>
          <w:rFonts w:ascii="Arial" w:hAnsi="Arial" w:cs="Arial"/>
          <w:i/>
          <w:sz w:val="20"/>
          <w:szCs w:val="20"/>
          <w:highlight w:val="yellow"/>
        </w:rPr>
        <w:t xml:space="preserve"> bacteria is GBS, note in prenatal</w:t>
      </w:r>
      <w:r w:rsidRPr="009F1154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9F1154">
        <w:rPr>
          <w:rFonts w:ascii="Arial" w:hAnsi="Arial" w:cs="Arial"/>
          <w:i/>
          <w:sz w:val="20"/>
          <w:szCs w:val="20"/>
          <w:highlight w:val="yellow"/>
        </w:rPr>
        <w:t>Problem List &amp; Labs. Task provider to notify positive GBS and to determine if treatment necessary. See below for documentation.</w:t>
      </w:r>
      <w:r w:rsidRPr="009F1154">
        <w:rPr>
          <w:rFonts w:ascii="Arial" w:hAnsi="Arial" w:cs="Arial"/>
          <w:i/>
          <w:sz w:val="20"/>
          <w:szCs w:val="20"/>
        </w:rPr>
        <w:t xml:space="preserve"> </w:t>
      </w:r>
    </w:p>
    <w:p w:rsidR="00647F91" w:rsidRPr="009F1154" w:rsidRDefault="00647F91" w:rsidP="009B7C53">
      <w:pPr>
        <w:numPr>
          <w:ilvl w:val="2"/>
          <w:numId w:val="6"/>
        </w:numPr>
        <w:tabs>
          <w:tab w:val="clear" w:pos="2160"/>
          <w:tab w:val="num" w:pos="2520"/>
        </w:tabs>
        <w:spacing w:before="20" w:after="20"/>
        <w:ind w:left="2520"/>
        <w:rPr>
          <w:rFonts w:ascii="Arial" w:hAnsi="Arial" w:cs="Arial"/>
          <w:sz w:val="20"/>
          <w:szCs w:val="20"/>
        </w:rPr>
      </w:pPr>
    </w:p>
    <w:p w:rsidR="009B7C53" w:rsidRDefault="009B7C53" w:rsidP="009B7C53">
      <w:pPr>
        <w:tabs>
          <w:tab w:val="num" w:pos="2520"/>
        </w:tabs>
        <w:spacing w:before="20" w:after="20"/>
        <w:ind w:left="2520"/>
        <w:rPr>
          <w:rFonts w:ascii="Arial" w:hAnsi="Arial" w:cs="Arial"/>
          <w:b/>
          <w:sz w:val="20"/>
          <w:szCs w:val="20"/>
        </w:rPr>
      </w:pPr>
      <w:r w:rsidRPr="009F1154">
        <w:rPr>
          <w:rFonts w:ascii="Arial" w:hAnsi="Arial" w:cs="Arial"/>
          <w:b/>
          <w:sz w:val="20"/>
          <w:szCs w:val="20"/>
        </w:rPr>
        <w:t xml:space="preserve"> *</w:t>
      </w:r>
      <w:proofErr w:type="spellStart"/>
      <w:r w:rsidRPr="009F1154">
        <w:rPr>
          <w:rFonts w:ascii="Arial" w:hAnsi="Arial" w:cs="Arial"/>
          <w:b/>
          <w:sz w:val="20"/>
          <w:szCs w:val="20"/>
        </w:rPr>
        <w:t>Macrobid</w:t>
      </w:r>
      <w:proofErr w:type="spellEnd"/>
      <w:r w:rsidRPr="009F11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F1154">
        <w:rPr>
          <w:rFonts w:ascii="Arial" w:hAnsi="Arial" w:cs="Arial"/>
          <w:b/>
          <w:sz w:val="20"/>
          <w:szCs w:val="20"/>
        </w:rPr>
        <w:t>inibits</w:t>
      </w:r>
      <w:proofErr w:type="spellEnd"/>
      <w:r w:rsidRPr="009F1154">
        <w:rPr>
          <w:rFonts w:ascii="Arial" w:hAnsi="Arial" w:cs="Arial"/>
          <w:b/>
          <w:sz w:val="20"/>
          <w:szCs w:val="20"/>
        </w:rPr>
        <w:t xml:space="preserve"> the G6PD enzyme in the baby, one of the things we test for in the newborn screen. </w:t>
      </w:r>
      <w:proofErr w:type="spellStart"/>
      <w:r w:rsidRPr="009F1154">
        <w:rPr>
          <w:rFonts w:ascii="Arial" w:hAnsi="Arial" w:cs="Arial"/>
          <w:b/>
          <w:sz w:val="20"/>
          <w:szCs w:val="20"/>
        </w:rPr>
        <w:t>Macrobid</w:t>
      </w:r>
      <w:proofErr w:type="spellEnd"/>
      <w:r w:rsidRPr="009F1154">
        <w:rPr>
          <w:rFonts w:ascii="Arial" w:hAnsi="Arial" w:cs="Arial"/>
          <w:b/>
          <w:sz w:val="20"/>
          <w:szCs w:val="20"/>
        </w:rPr>
        <w:t xml:space="preserve"> should not be given from 36wks gestation to 30 days postpartum.</w:t>
      </w:r>
    </w:p>
    <w:p w:rsidR="00647F91" w:rsidRPr="009F1154" w:rsidRDefault="00647F91" w:rsidP="009B7C53">
      <w:pPr>
        <w:tabs>
          <w:tab w:val="num" w:pos="2520"/>
        </w:tabs>
        <w:spacing w:before="20" w:after="20"/>
        <w:ind w:left="2520"/>
        <w:rPr>
          <w:rFonts w:ascii="Arial" w:hAnsi="Arial" w:cs="Arial"/>
          <w:b/>
          <w:sz w:val="20"/>
          <w:szCs w:val="20"/>
        </w:rPr>
      </w:pPr>
    </w:p>
    <w:p w:rsidR="009B7C53" w:rsidRPr="009F1154" w:rsidRDefault="009B7C53" w:rsidP="009B7C53">
      <w:pPr>
        <w:numPr>
          <w:ilvl w:val="3"/>
          <w:numId w:val="6"/>
        </w:numPr>
        <w:tabs>
          <w:tab w:val="clear" w:pos="2880"/>
          <w:tab w:val="num" w:pos="3240"/>
        </w:tabs>
        <w:spacing w:before="20" w:after="20"/>
        <w:ind w:left="3240"/>
        <w:rPr>
          <w:rFonts w:ascii="Arial" w:hAnsi="Arial" w:cs="Arial"/>
          <w:b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lastRenderedPageBreak/>
        <w:t xml:space="preserve">NITROFURANTOIN </w:t>
      </w:r>
      <w:proofErr w:type="spellStart"/>
      <w:r w:rsidRPr="009F1154">
        <w:rPr>
          <w:rFonts w:ascii="Arial" w:hAnsi="Arial" w:cs="Arial"/>
          <w:sz w:val="20"/>
          <w:szCs w:val="20"/>
        </w:rPr>
        <w:t>monohyd</w:t>
      </w:r>
      <w:proofErr w:type="spellEnd"/>
      <w:r w:rsidRPr="009F1154">
        <w:rPr>
          <w:rFonts w:ascii="Arial" w:hAnsi="Arial" w:cs="Arial"/>
          <w:sz w:val="20"/>
          <w:szCs w:val="20"/>
        </w:rPr>
        <w:t>/m-</w:t>
      </w:r>
      <w:proofErr w:type="spellStart"/>
      <w:r w:rsidRPr="009F1154">
        <w:rPr>
          <w:rFonts w:ascii="Arial" w:hAnsi="Arial" w:cs="Arial"/>
          <w:sz w:val="20"/>
          <w:szCs w:val="20"/>
        </w:rPr>
        <w:t>cryst</w:t>
      </w:r>
      <w:proofErr w:type="spellEnd"/>
      <w:r w:rsidRPr="009F1154">
        <w:rPr>
          <w:rFonts w:ascii="Arial" w:hAnsi="Arial" w:cs="Arial"/>
          <w:sz w:val="20"/>
          <w:szCs w:val="20"/>
        </w:rPr>
        <w:t xml:space="preserve"> (dual release, extended release, </w:t>
      </w:r>
      <w:proofErr w:type="spellStart"/>
      <w:r w:rsidRPr="009F1154">
        <w:rPr>
          <w:rFonts w:ascii="Arial" w:hAnsi="Arial" w:cs="Arial"/>
          <w:sz w:val="20"/>
          <w:szCs w:val="20"/>
        </w:rPr>
        <w:t>Macrobid</w:t>
      </w:r>
      <w:proofErr w:type="spellEnd"/>
      <w:r w:rsidRPr="009F1154">
        <w:rPr>
          <w:rFonts w:ascii="Arial" w:hAnsi="Arial" w:cs="Arial"/>
          <w:sz w:val="20"/>
          <w:szCs w:val="20"/>
        </w:rPr>
        <w:t xml:space="preserve">)100mg TAB 1 </w:t>
      </w:r>
      <w:r w:rsidRPr="009F1154">
        <w:rPr>
          <w:rFonts w:ascii="Arial" w:hAnsi="Arial" w:cs="Arial"/>
          <w:sz w:val="20"/>
          <w:szCs w:val="20"/>
          <w:highlight w:val="yellow"/>
        </w:rPr>
        <w:t>BIDX5D #10</w:t>
      </w:r>
      <w:r w:rsidRPr="009F1154">
        <w:rPr>
          <w:rFonts w:ascii="Arial" w:hAnsi="Arial" w:cs="Arial"/>
          <w:sz w:val="20"/>
          <w:szCs w:val="20"/>
        </w:rPr>
        <w:t xml:space="preserve"> (about $16 @ </w:t>
      </w:r>
      <w:r w:rsidR="00647F91">
        <w:rPr>
          <w:rFonts w:ascii="Arial" w:hAnsi="Arial" w:cs="Arial"/>
          <w:sz w:val="20"/>
          <w:szCs w:val="20"/>
        </w:rPr>
        <w:t>HCC</w:t>
      </w:r>
      <w:r w:rsidRPr="009F1154">
        <w:rPr>
          <w:rFonts w:ascii="Arial" w:hAnsi="Arial" w:cs="Arial"/>
          <w:sz w:val="20"/>
          <w:szCs w:val="20"/>
        </w:rPr>
        <w:t>)</w:t>
      </w:r>
    </w:p>
    <w:p w:rsidR="009B7C53" w:rsidRPr="009F1154" w:rsidRDefault="009B7C53" w:rsidP="009B7C53">
      <w:pPr>
        <w:spacing w:before="20" w:after="20"/>
        <w:ind w:left="2880" w:firstLine="360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>(Not during 36wks gestation to 30 days postpartum)*</w:t>
      </w:r>
    </w:p>
    <w:p w:rsidR="009B7C53" w:rsidRPr="009F1154" w:rsidRDefault="009B7C53" w:rsidP="009B7C53">
      <w:pPr>
        <w:spacing w:before="20" w:after="20"/>
        <w:ind w:left="5040" w:firstLine="720"/>
        <w:rPr>
          <w:rFonts w:ascii="Arial" w:hAnsi="Arial" w:cs="Arial"/>
          <w:b/>
          <w:sz w:val="20"/>
          <w:szCs w:val="20"/>
        </w:rPr>
      </w:pPr>
      <w:r w:rsidRPr="009F1154">
        <w:rPr>
          <w:rFonts w:ascii="Arial" w:hAnsi="Arial" w:cs="Arial"/>
          <w:b/>
          <w:sz w:val="20"/>
          <w:szCs w:val="20"/>
        </w:rPr>
        <w:t>OR</w:t>
      </w:r>
    </w:p>
    <w:p w:rsidR="009B7C53" w:rsidRPr="009F1154" w:rsidRDefault="009B7C53" w:rsidP="009B7C53">
      <w:pPr>
        <w:numPr>
          <w:ilvl w:val="3"/>
          <w:numId w:val="6"/>
        </w:numPr>
        <w:tabs>
          <w:tab w:val="clear" w:pos="2880"/>
          <w:tab w:val="num" w:pos="3240"/>
        </w:tabs>
        <w:spacing w:before="20" w:after="20"/>
        <w:ind w:left="3240"/>
        <w:rPr>
          <w:rFonts w:ascii="Arial" w:hAnsi="Arial" w:cs="Arial"/>
          <w:b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 xml:space="preserve">NITROFURANTOIN </w:t>
      </w:r>
      <w:proofErr w:type="spellStart"/>
      <w:r w:rsidRPr="009F1154">
        <w:rPr>
          <w:rFonts w:ascii="Arial" w:hAnsi="Arial" w:cs="Arial"/>
          <w:sz w:val="20"/>
          <w:szCs w:val="20"/>
        </w:rPr>
        <w:t>macrocrystal</w:t>
      </w:r>
      <w:proofErr w:type="spellEnd"/>
      <w:r w:rsidRPr="009F1154">
        <w:rPr>
          <w:rFonts w:ascii="Arial" w:hAnsi="Arial" w:cs="Arial"/>
          <w:sz w:val="20"/>
          <w:szCs w:val="20"/>
        </w:rPr>
        <w:t xml:space="preserve"> (regular release, </w:t>
      </w:r>
      <w:proofErr w:type="spellStart"/>
      <w:r w:rsidRPr="009F1154">
        <w:rPr>
          <w:rFonts w:ascii="Arial" w:hAnsi="Arial" w:cs="Arial"/>
          <w:sz w:val="20"/>
          <w:szCs w:val="20"/>
        </w:rPr>
        <w:t>Macrodantin</w:t>
      </w:r>
      <w:proofErr w:type="spellEnd"/>
      <w:r w:rsidRPr="009F1154">
        <w:rPr>
          <w:rFonts w:ascii="Arial" w:hAnsi="Arial" w:cs="Arial"/>
          <w:sz w:val="20"/>
          <w:szCs w:val="20"/>
        </w:rPr>
        <w:t xml:space="preserve">) 100mg TAB 1 </w:t>
      </w:r>
      <w:r w:rsidRPr="009F1154">
        <w:rPr>
          <w:rFonts w:ascii="Arial" w:hAnsi="Arial" w:cs="Arial"/>
          <w:sz w:val="20"/>
          <w:szCs w:val="20"/>
          <w:highlight w:val="yellow"/>
        </w:rPr>
        <w:t>QIDx5D #20</w:t>
      </w:r>
      <w:r w:rsidRPr="009F1154">
        <w:rPr>
          <w:rFonts w:ascii="Arial" w:hAnsi="Arial" w:cs="Arial"/>
          <w:sz w:val="20"/>
          <w:szCs w:val="20"/>
        </w:rPr>
        <w:t xml:space="preserve"> (about $12 @) Walmart)</w:t>
      </w:r>
    </w:p>
    <w:p w:rsidR="009B7C53" w:rsidRPr="009F1154" w:rsidRDefault="009B7C53" w:rsidP="009B7C53">
      <w:pPr>
        <w:tabs>
          <w:tab w:val="num" w:pos="3240"/>
        </w:tabs>
        <w:spacing w:before="20" w:after="20"/>
        <w:ind w:left="3240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>(Not during 36wks gestation to 30 days postpartum)*</w:t>
      </w:r>
    </w:p>
    <w:p w:rsidR="009B7C53" w:rsidRPr="00F570A8" w:rsidRDefault="009B7C53" w:rsidP="009B7C53">
      <w:pPr>
        <w:tabs>
          <w:tab w:val="num" w:pos="3240"/>
        </w:tabs>
        <w:spacing w:before="20" w:after="20"/>
        <w:ind w:left="3240"/>
        <w:rPr>
          <w:rFonts w:ascii="Garamond" w:hAnsi="Garamond"/>
        </w:rPr>
      </w:pPr>
      <w:r w:rsidRPr="009F115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F1154">
        <w:rPr>
          <w:rFonts w:ascii="Arial" w:hAnsi="Arial" w:cs="Arial"/>
          <w:sz w:val="20"/>
          <w:szCs w:val="20"/>
        </w:rPr>
        <w:t xml:space="preserve">Per BCH </w:t>
      </w:r>
      <w:proofErr w:type="spellStart"/>
      <w:r w:rsidRPr="009F1154">
        <w:rPr>
          <w:rFonts w:ascii="Arial" w:hAnsi="Arial" w:cs="Arial"/>
          <w:sz w:val="20"/>
          <w:szCs w:val="20"/>
        </w:rPr>
        <w:t>antibiogram</w:t>
      </w:r>
      <w:proofErr w:type="spellEnd"/>
      <w:r w:rsidRPr="009F1154">
        <w:rPr>
          <w:rFonts w:ascii="Arial" w:hAnsi="Arial" w:cs="Arial"/>
          <w:sz w:val="20"/>
          <w:szCs w:val="20"/>
        </w:rPr>
        <w:t xml:space="preserve">, first-line treatment for </w:t>
      </w:r>
      <w:r w:rsidRPr="009F1154">
        <w:rPr>
          <w:rFonts w:ascii="Arial" w:hAnsi="Arial" w:cs="Arial"/>
          <w:b/>
          <w:sz w:val="20"/>
          <w:szCs w:val="20"/>
        </w:rPr>
        <w:t>E.coli only</w:t>
      </w:r>
      <w:r w:rsidRPr="001E7FA3">
        <w:rPr>
          <w:rFonts w:ascii="Garamond" w:hAnsi="Garamond"/>
          <w:b/>
        </w:rPr>
        <w:t>.</w:t>
      </w:r>
      <w:proofErr w:type="gramEnd"/>
      <w:r w:rsidRPr="00837F18">
        <w:rPr>
          <w:rFonts w:ascii="Garamond" w:hAnsi="Garamond"/>
        </w:rPr>
        <w:t xml:space="preserve"> </w:t>
      </w:r>
    </w:p>
    <w:p w:rsidR="009B7C53" w:rsidRPr="009F1154" w:rsidRDefault="009B7C53" w:rsidP="009B7C53">
      <w:pPr>
        <w:spacing w:before="20" w:after="20"/>
        <w:ind w:left="5400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b/>
          <w:sz w:val="20"/>
          <w:szCs w:val="20"/>
        </w:rPr>
        <w:t xml:space="preserve"> OR</w:t>
      </w:r>
    </w:p>
    <w:p w:rsidR="009B7C53" w:rsidRDefault="009B7C53" w:rsidP="00647F91">
      <w:pPr>
        <w:numPr>
          <w:ilvl w:val="3"/>
          <w:numId w:val="6"/>
        </w:numPr>
        <w:tabs>
          <w:tab w:val="clear" w:pos="2880"/>
          <w:tab w:val="num" w:pos="3240"/>
        </w:tabs>
        <w:spacing w:before="20" w:after="20"/>
        <w:ind w:left="3240"/>
        <w:rPr>
          <w:rFonts w:ascii="Arial" w:hAnsi="Arial" w:cs="Arial"/>
          <w:sz w:val="20"/>
          <w:szCs w:val="20"/>
        </w:rPr>
      </w:pPr>
      <w:r w:rsidRPr="00647F91">
        <w:rPr>
          <w:rFonts w:ascii="Arial" w:hAnsi="Arial" w:cs="Arial"/>
          <w:sz w:val="20"/>
          <w:szCs w:val="20"/>
        </w:rPr>
        <w:t xml:space="preserve">AMOXICILLIN (Amoxil) 500mg TAB 1 </w:t>
      </w:r>
      <w:r w:rsidRPr="00647F91">
        <w:rPr>
          <w:rFonts w:ascii="Arial" w:hAnsi="Arial" w:cs="Arial"/>
          <w:sz w:val="20"/>
          <w:szCs w:val="20"/>
          <w:highlight w:val="yellow"/>
        </w:rPr>
        <w:t>BIDX5D #10</w:t>
      </w:r>
      <w:r w:rsidRPr="00647F91">
        <w:rPr>
          <w:rFonts w:ascii="Arial" w:hAnsi="Arial" w:cs="Arial"/>
          <w:sz w:val="20"/>
          <w:szCs w:val="20"/>
        </w:rPr>
        <w:t xml:space="preserve">  </w:t>
      </w:r>
    </w:p>
    <w:p w:rsidR="00647F91" w:rsidRDefault="00647F91" w:rsidP="00647F91">
      <w:pPr>
        <w:tabs>
          <w:tab w:val="num" w:pos="3240"/>
        </w:tabs>
        <w:spacing w:before="20" w:after="20"/>
        <w:rPr>
          <w:rFonts w:ascii="Arial" w:hAnsi="Arial" w:cs="Arial"/>
          <w:sz w:val="20"/>
          <w:szCs w:val="20"/>
        </w:rPr>
      </w:pPr>
    </w:p>
    <w:p w:rsidR="00647F91" w:rsidRPr="00647F91" w:rsidRDefault="00647F91" w:rsidP="00647F91">
      <w:pPr>
        <w:tabs>
          <w:tab w:val="num" w:pos="3240"/>
        </w:tabs>
        <w:spacing w:before="20" w:after="20"/>
        <w:rPr>
          <w:rFonts w:ascii="Arial" w:hAnsi="Arial" w:cs="Arial"/>
          <w:sz w:val="20"/>
          <w:szCs w:val="20"/>
        </w:rPr>
      </w:pPr>
    </w:p>
    <w:p w:rsidR="009B7C53" w:rsidRPr="009F1154" w:rsidRDefault="009B7C53" w:rsidP="009B7C53">
      <w:pPr>
        <w:spacing w:before="20" w:after="20"/>
        <w:ind w:left="5400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 xml:space="preserve"> </w:t>
      </w:r>
      <w:r w:rsidRPr="009F1154">
        <w:rPr>
          <w:rFonts w:ascii="Arial" w:hAnsi="Arial" w:cs="Arial"/>
          <w:b/>
          <w:sz w:val="20"/>
          <w:szCs w:val="20"/>
        </w:rPr>
        <w:t>OR</w:t>
      </w:r>
    </w:p>
    <w:p w:rsidR="009B7C53" w:rsidRPr="009F1154" w:rsidRDefault="009B7C53" w:rsidP="009B7C53">
      <w:pPr>
        <w:numPr>
          <w:ilvl w:val="3"/>
          <w:numId w:val="6"/>
        </w:numPr>
        <w:tabs>
          <w:tab w:val="clear" w:pos="2880"/>
          <w:tab w:val="num" w:pos="3240"/>
        </w:tabs>
        <w:spacing w:before="20" w:after="20"/>
        <w:ind w:left="3240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 xml:space="preserve">CEPHALEXIN (Keflex) 500mg TAB 1 </w:t>
      </w:r>
      <w:r w:rsidRPr="009F1154">
        <w:rPr>
          <w:rFonts w:ascii="Arial" w:hAnsi="Arial" w:cs="Arial"/>
          <w:sz w:val="20"/>
          <w:szCs w:val="20"/>
          <w:highlight w:val="yellow"/>
        </w:rPr>
        <w:t>BIDX5D #10</w:t>
      </w:r>
    </w:p>
    <w:p w:rsidR="009B7C53" w:rsidRDefault="009B7C53" w:rsidP="009B7C53">
      <w:pPr>
        <w:spacing w:before="20" w:after="20"/>
        <w:rPr>
          <w:rFonts w:ascii="Garamond" w:hAnsi="Garamond"/>
        </w:rPr>
      </w:pPr>
    </w:p>
    <w:p w:rsidR="009B7C53" w:rsidRPr="009F1154" w:rsidRDefault="009B7C53" w:rsidP="009B7C53">
      <w:pPr>
        <w:numPr>
          <w:ilvl w:val="1"/>
          <w:numId w:val="6"/>
        </w:numPr>
        <w:tabs>
          <w:tab w:val="clear" w:pos="1440"/>
          <w:tab w:val="num" w:pos="1800"/>
        </w:tabs>
        <w:spacing w:before="20" w:after="20"/>
        <w:ind w:left="1800"/>
        <w:rPr>
          <w:rFonts w:ascii="Arial" w:hAnsi="Arial" w:cs="Arial"/>
          <w:b/>
          <w:sz w:val="20"/>
          <w:szCs w:val="20"/>
        </w:rPr>
      </w:pPr>
      <w:r w:rsidRPr="009F1154">
        <w:rPr>
          <w:rFonts w:ascii="Arial" w:hAnsi="Arial" w:cs="Arial"/>
          <w:b/>
          <w:sz w:val="20"/>
          <w:szCs w:val="20"/>
        </w:rPr>
        <w:t>For dysuria</w:t>
      </w:r>
    </w:p>
    <w:p w:rsidR="009B7C53" w:rsidRPr="009F1154" w:rsidRDefault="009B7C53" w:rsidP="009B7C53">
      <w:pPr>
        <w:numPr>
          <w:ilvl w:val="3"/>
          <w:numId w:val="6"/>
        </w:numPr>
        <w:tabs>
          <w:tab w:val="clear" w:pos="2880"/>
          <w:tab w:val="num" w:pos="3240"/>
        </w:tabs>
        <w:spacing w:before="20" w:after="20"/>
        <w:ind w:left="3240"/>
        <w:rPr>
          <w:rFonts w:ascii="Arial" w:hAnsi="Arial" w:cs="Arial"/>
          <w:sz w:val="20"/>
          <w:szCs w:val="20"/>
          <w:u w:val="single"/>
        </w:rPr>
      </w:pPr>
      <w:r w:rsidRPr="009F1154">
        <w:rPr>
          <w:rFonts w:ascii="Arial" w:hAnsi="Arial" w:cs="Arial"/>
          <w:sz w:val="20"/>
          <w:szCs w:val="20"/>
        </w:rPr>
        <w:t>*</w:t>
      </w:r>
      <w:r w:rsidRPr="009F1154">
        <w:rPr>
          <w:rFonts w:ascii="Arial" w:hAnsi="Arial" w:cs="Arial"/>
          <w:sz w:val="20"/>
          <w:szCs w:val="20"/>
          <w:u w:val="single"/>
        </w:rPr>
        <w:t>PHENAZOPYRIDINE (</w:t>
      </w:r>
      <w:proofErr w:type="spellStart"/>
      <w:r w:rsidRPr="009F1154">
        <w:rPr>
          <w:rFonts w:ascii="Arial" w:hAnsi="Arial" w:cs="Arial"/>
          <w:sz w:val="20"/>
          <w:szCs w:val="20"/>
          <w:u w:val="single"/>
        </w:rPr>
        <w:t>Pyridium</w:t>
      </w:r>
      <w:proofErr w:type="spellEnd"/>
      <w:r w:rsidRPr="009F1154">
        <w:rPr>
          <w:rFonts w:ascii="Arial" w:hAnsi="Arial" w:cs="Arial"/>
          <w:sz w:val="20"/>
          <w:szCs w:val="20"/>
          <w:u w:val="single"/>
        </w:rPr>
        <w:t xml:space="preserve">) 100mg TAB 1 TIDX2D #6 </w:t>
      </w:r>
    </w:p>
    <w:p w:rsidR="009B7C53" w:rsidRPr="009F1154" w:rsidRDefault="009B7C53" w:rsidP="009B7C53">
      <w:pPr>
        <w:spacing w:before="20" w:after="20"/>
        <w:ind w:left="2520" w:firstLine="720"/>
        <w:rPr>
          <w:rFonts w:ascii="Arial" w:hAnsi="Arial" w:cs="Arial"/>
          <w:sz w:val="20"/>
          <w:szCs w:val="20"/>
          <w:u w:val="single"/>
        </w:rPr>
      </w:pPr>
      <w:r w:rsidRPr="009F1154">
        <w:rPr>
          <w:rFonts w:ascii="Arial" w:hAnsi="Arial" w:cs="Arial"/>
          <w:sz w:val="20"/>
          <w:szCs w:val="20"/>
          <w:u w:val="single"/>
        </w:rPr>
        <w:t>(</w:t>
      </w:r>
      <w:proofErr w:type="gramStart"/>
      <w:r w:rsidRPr="009F1154">
        <w:rPr>
          <w:rFonts w:ascii="Arial" w:hAnsi="Arial" w:cs="Arial"/>
          <w:sz w:val="20"/>
          <w:szCs w:val="20"/>
          <w:u w:val="single"/>
        </w:rPr>
        <w:t>also</w:t>
      </w:r>
      <w:proofErr w:type="gramEnd"/>
      <w:r w:rsidRPr="009F1154">
        <w:rPr>
          <w:rFonts w:ascii="Arial" w:hAnsi="Arial" w:cs="Arial"/>
          <w:sz w:val="20"/>
          <w:szCs w:val="20"/>
          <w:u w:val="single"/>
        </w:rPr>
        <w:t xml:space="preserve"> available OTC as “Azo”).</w:t>
      </w:r>
    </w:p>
    <w:p w:rsidR="009B7C53" w:rsidRPr="009F1154" w:rsidRDefault="009B7C53" w:rsidP="009B7C53">
      <w:pPr>
        <w:spacing w:before="20" w:after="20"/>
        <w:ind w:left="1080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ab/>
      </w:r>
      <w:r w:rsidRPr="009F1154">
        <w:rPr>
          <w:rFonts w:ascii="Arial" w:hAnsi="Arial" w:cs="Arial"/>
          <w:sz w:val="20"/>
          <w:szCs w:val="20"/>
        </w:rPr>
        <w:tab/>
      </w:r>
      <w:r w:rsidRPr="009F1154">
        <w:rPr>
          <w:rFonts w:ascii="Arial" w:hAnsi="Arial" w:cs="Arial"/>
          <w:sz w:val="20"/>
          <w:szCs w:val="20"/>
        </w:rPr>
        <w:tab/>
      </w:r>
    </w:p>
    <w:p w:rsidR="009B7C53" w:rsidRPr="00F81EBD" w:rsidRDefault="009B7C53" w:rsidP="009B7C53"/>
    <w:p w:rsidR="009B7C53" w:rsidRPr="0060687F" w:rsidRDefault="009B7C53" w:rsidP="009B7C53">
      <w:pPr>
        <w:pStyle w:val="Heading1"/>
        <w:spacing w:before="20" w:after="20" w:line="240" w:lineRule="auto"/>
        <w:rPr>
          <w:rFonts w:ascii="Arial" w:hAnsi="Arial" w:cs="Arial"/>
          <w:b/>
          <w:smallCaps/>
          <w:color w:val="7030A0"/>
          <w:u w:val="none"/>
        </w:rPr>
      </w:pPr>
      <w:r w:rsidRPr="0060687F">
        <w:rPr>
          <w:rFonts w:ascii="Arial" w:hAnsi="Arial" w:cs="Arial"/>
          <w:b/>
          <w:smallCaps/>
          <w:color w:val="7030A0"/>
          <w:u w:val="none"/>
        </w:rPr>
        <w:t>Education</w:t>
      </w:r>
    </w:p>
    <w:p w:rsidR="009B7C53" w:rsidRPr="009F1154" w:rsidRDefault="009B7C53" w:rsidP="009B7C53">
      <w:pPr>
        <w:numPr>
          <w:ilvl w:val="0"/>
          <w:numId w:val="3"/>
        </w:numPr>
        <w:tabs>
          <w:tab w:val="left" w:pos="360"/>
        </w:tabs>
        <w:spacing w:before="20" w:after="20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>TOC for pregnant women 2 weeks post completion of treatment.</w:t>
      </w:r>
    </w:p>
    <w:p w:rsidR="009B7C53" w:rsidRPr="009F1154" w:rsidRDefault="009B7C53" w:rsidP="009B7C53">
      <w:pPr>
        <w:numPr>
          <w:ilvl w:val="0"/>
          <w:numId w:val="3"/>
        </w:numPr>
        <w:tabs>
          <w:tab w:val="left" w:pos="360"/>
        </w:tabs>
        <w:spacing w:before="20" w:after="20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 xml:space="preserve">Discuss how to take meds; emphasize finish all </w:t>
      </w:r>
      <w:proofErr w:type="spellStart"/>
      <w:r w:rsidRPr="009F1154">
        <w:rPr>
          <w:rFonts w:ascii="Arial" w:hAnsi="Arial" w:cs="Arial"/>
          <w:sz w:val="20"/>
          <w:szCs w:val="20"/>
        </w:rPr>
        <w:t>abx</w:t>
      </w:r>
      <w:proofErr w:type="spellEnd"/>
      <w:r w:rsidRPr="009F1154">
        <w:rPr>
          <w:rFonts w:ascii="Arial" w:hAnsi="Arial" w:cs="Arial"/>
          <w:sz w:val="20"/>
          <w:szCs w:val="20"/>
        </w:rPr>
        <w:t>, even after symptoms clear. Use condoms if on BCPs.</w:t>
      </w:r>
    </w:p>
    <w:p w:rsidR="009B7C53" w:rsidRPr="009F1154" w:rsidRDefault="009B7C53" w:rsidP="009B7C53">
      <w:pPr>
        <w:numPr>
          <w:ilvl w:val="0"/>
          <w:numId w:val="3"/>
        </w:numPr>
        <w:tabs>
          <w:tab w:val="left" w:pos="360"/>
        </w:tabs>
        <w:spacing w:before="20" w:after="20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>Prompt treatment is important to prevent pyelonephritis and permanent kidney damage.</w:t>
      </w:r>
    </w:p>
    <w:p w:rsidR="009B7C53" w:rsidRPr="009F1154" w:rsidRDefault="009B7C53" w:rsidP="009B7C53">
      <w:pPr>
        <w:numPr>
          <w:ilvl w:val="0"/>
          <w:numId w:val="3"/>
        </w:numPr>
        <w:tabs>
          <w:tab w:val="left" w:pos="360"/>
        </w:tabs>
        <w:spacing w:before="20" w:after="20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>Prevention:</w:t>
      </w:r>
    </w:p>
    <w:p w:rsidR="009B7C53" w:rsidRPr="009F1154" w:rsidRDefault="009B7C53" w:rsidP="009B7C53">
      <w:pPr>
        <w:numPr>
          <w:ilvl w:val="1"/>
          <w:numId w:val="3"/>
        </w:numPr>
        <w:tabs>
          <w:tab w:val="left" w:pos="360"/>
        </w:tabs>
        <w:spacing w:before="20" w:after="20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>Urinate frequently, especially before and after intercourse.  Completely empty bladder each time. For female patients, encourage good perineal hygiene; wiping front to back.</w:t>
      </w:r>
    </w:p>
    <w:p w:rsidR="009B7C53" w:rsidRPr="009F1154" w:rsidRDefault="009B7C53" w:rsidP="009B7C53">
      <w:pPr>
        <w:numPr>
          <w:ilvl w:val="1"/>
          <w:numId w:val="3"/>
        </w:numPr>
        <w:tabs>
          <w:tab w:val="left" w:pos="360"/>
        </w:tabs>
        <w:spacing w:before="20" w:after="20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 xml:space="preserve">Increase fluid intake. At least 2-3L of water daily. </w:t>
      </w:r>
    </w:p>
    <w:p w:rsidR="009B7C53" w:rsidRPr="009F1154" w:rsidRDefault="009B7C53" w:rsidP="009B7C53">
      <w:pPr>
        <w:numPr>
          <w:ilvl w:val="1"/>
          <w:numId w:val="3"/>
        </w:numPr>
        <w:tabs>
          <w:tab w:val="left" w:pos="360"/>
        </w:tabs>
        <w:spacing w:before="20" w:after="20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 xml:space="preserve">Unsweetened cranberry juice (8oz TID) or tablets of cranberry concentrate (300-400mg BID)  </w:t>
      </w:r>
    </w:p>
    <w:p w:rsidR="009B7C53" w:rsidRPr="009F1154" w:rsidRDefault="009B7C53" w:rsidP="009B7C53">
      <w:pPr>
        <w:numPr>
          <w:ilvl w:val="1"/>
          <w:numId w:val="3"/>
        </w:numPr>
        <w:tabs>
          <w:tab w:val="left" w:pos="360"/>
        </w:tabs>
        <w:spacing w:before="20" w:after="20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>Recommend yogurt or probiotic intake in conjunction with antibiotic regimen</w:t>
      </w:r>
      <w:r w:rsidR="009F1154" w:rsidRPr="009F1154">
        <w:rPr>
          <w:rFonts w:ascii="Arial" w:hAnsi="Arial" w:cs="Arial"/>
          <w:sz w:val="20"/>
          <w:szCs w:val="20"/>
        </w:rPr>
        <w:t>.</w:t>
      </w:r>
    </w:p>
    <w:p w:rsidR="009B7C53" w:rsidRPr="009F1154" w:rsidRDefault="009B7C53" w:rsidP="009B7C53">
      <w:pPr>
        <w:tabs>
          <w:tab w:val="left" w:pos="360"/>
        </w:tabs>
        <w:spacing w:before="20" w:after="20"/>
        <w:ind w:left="1440"/>
        <w:rPr>
          <w:rFonts w:ascii="Arial" w:hAnsi="Arial" w:cs="Arial"/>
          <w:sz w:val="20"/>
          <w:szCs w:val="20"/>
        </w:rPr>
      </w:pPr>
    </w:p>
    <w:p w:rsidR="009B7C53" w:rsidRPr="0060687F" w:rsidRDefault="009B7C53" w:rsidP="009B7C53">
      <w:pPr>
        <w:pStyle w:val="Heading1"/>
        <w:spacing w:before="20" w:after="20" w:line="240" w:lineRule="auto"/>
        <w:rPr>
          <w:rFonts w:ascii="Arial" w:hAnsi="Arial" w:cs="Arial"/>
          <w:b/>
          <w:smallCaps/>
          <w:color w:val="548DD4" w:themeColor="text2" w:themeTint="99"/>
          <w:u w:val="none"/>
        </w:rPr>
      </w:pPr>
      <w:r w:rsidRPr="0060687F">
        <w:rPr>
          <w:rFonts w:ascii="Arial" w:hAnsi="Arial" w:cs="Arial"/>
          <w:b/>
          <w:smallCaps/>
          <w:color w:val="548DD4" w:themeColor="text2" w:themeTint="99"/>
          <w:u w:val="none"/>
        </w:rPr>
        <w:t>Co-Visit</w:t>
      </w:r>
    </w:p>
    <w:p w:rsidR="00D26265" w:rsidRDefault="00D26265" w:rsidP="009B7C53">
      <w:pPr>
        <w:numPr>
          <w:ilvl w:val="0"/>
          <w:numId w:val="3"/>
        </w:numPr>
        <w:tabs>
          <w:tab w:val="left" w:pos="360"/>
        </w:tabs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 to provider after examination but BEFORE documentation.</w:t>
      </w:r>
    </w:p>
    <w:p w:rsidR="009B7C53" w:rsidRPr="00D26265" w:rsidRDefault="009B7C53" w:rsidP="00D26265">
      <w:pPr>
        <w:numPr>
          <w:ilvl w:val="0"/>
          <w:numId w:val="3"/>
        </w:numPr>
        <w:tabs>
          <w:tab w:val="left" w:pos="360"/>
        </w:tabs>
        <w:spacing w:before="20" w:after="20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>Make sure all of the above is documented</w:t>
      </w:r>
      <w:r w:rsidR="00D26265">
        <w:rPr>
          <w:rFonts w:ascii="Arial" w:hAnsi="Arial" w:cs="Arial"/>
          <w:sz w:val="20"/>
          <w:szCs w:val="20"/>
        </w:rPr>
        <w:t xml:space="preserve"> after consultation with provider</w:t>
      </w:r>
      <w:r w:rsidRPr="009F1154">
        <w:rPr>
          <w:rFonts w:ascii="Arial" w:hAnsi="Arial" w:cs="Arial"/>
          <w:sz w:val="20"/>
          <w:szCs w:val="20"/>
        </w:rPr>
        <w:t>.</w:t>
      </w:r>
    </w:p>
    <w:p w:rsidR="009B7C53" w:rsidRDefault="009B7C53" w:rsidP="009B7C53">
      <w:pPr>
        <w:pStyle w:val="Title"/>
        <w:spacing w:before="20" w:after="20"/>
        <w:jc w:val="left"/>
        <w:rPr>
          <w:rFonts w:ascii="Garamond" w:hAnsi="Garamond"/>
          <w:i/>
          <w:smallCaps/>
          <w:color w:val="FF0000"/>
        </w:rPr>
      </w:pPr>
    </w:p>
    <w:p w:rsidR="00750652" w:rsidRPr="00AA3C51" w:rsidRDefault="00750652" w:rsidP="009B7C53">
      <w:pPr>
        <w:pStyle w:val="Title"/>
        <w:spacing w:before="20" w:after="20"/>
        <w:jc w:val="left"/>
        <w:rPr>
          <w:rFonts w:ascii="Garamond" w:hAnsi="Garamond"/>
          <w:i/>
          <w:smallCaps/>
          <w:color w:val="FF0000"/>
        </w:rPr>
      </w:pPr>
    </w:p>
    <w:p w:rsidR="009B7C53" w:rsidRPr="00770FC4" w:rsidRDefault="009B7C53" w:rsidP="009B7C53">
      <w:pPr>
        <w:pStyle w:val="Title"/>
        <w:spacing w:before="20" w:after="20"/>
        <w:jc w:val="left"/>
        <w:rPr>
          <w:rFonts w:ascii="Arial" w:hAnsi="Arial" w:cs="Arial"/>
          <w:i/>
          <w:smallCaps/>
          <w:color w:val="FF0000"/>
        </w:rPr>
      </w:pPr>
      <w:r w:rsidRPr="00770FC4">
        <w:rPr>
          <w:rFonts w:ascii="Arial" w:hAnsi="Arial" w:cs="Arial"/>
          <w:i/>
          <w:smallCaps/>
          <w:color w:val="FF0000"/>
        </w:rPr>
        <w:t xml:space="preserve">Call back for appointment with provider if: </w:t>
      </w:r>
    </w:p>
    <w:p w:rsidR="009B7C53" w:rsidRPr="009F1154" w:rsidRDefault="009B7C53" w:rsidP="009B7C5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>Not improving on antibiotics.  Most women experience relief from symptoms within 24-48 hours.</w:t>
      </w:r>
    </w:p>
    <w:p w:rsidR="009B7C53" w:rsidRPr="009F1154" w:rsidRDefault="009B7C53" w:rsidP="009B7C53">
      <w:pPr>
        <w:numPr>
          <w:ilvl w:val="0"/>
          <w:numId w:val="4"/>
        </w:numPr>
        <w:spacing w:line="264" w:lineRule="auto"/>
        <w:rPr>
          <w:rFonts w:ascii="Arial" w:hAnsi="Arial" w:cs="Arial"/>
          <w:sz w:val="20"/>
          <w:szCs w:val="20"/>
        </w:rPr>
      </w:pPr>
      <w:r w:rsidRPr="009F1154">
        <w:rPr>
          <w:rFonts w:ascii="Arial" w:hAnsi="Arial" w:cs="Arial"/>
          <w:sz w:val="20"/>
          <w:szCs w:val="20"/>
        </w:rPr>
        <w:t xml:space="preserve">Worsening with signs and symptoms of pyelonephritis including, flank pain, fever, chills, vomiting, </w:t>
      </w:r>
      <w:proofErr w:type="gramStart"/>
      <w:r w:rsidRPr="009F1154">
        <w:rPr>
          <w:rFonts w:ascii="Arial" w:hAnsi="Arial" w:cs="Arial"/>
          <w:sz w:val="20"/>
          <w:szCs w:val="20"/>
        </w:rPr>
        <w:t>malaise</w:t>
      </w:r>
      <w:proofErr w:type="gramEnd"/>
      <w:r w:rsidRPr="009F1154">
        <w:rPr>
          <w:rFonts w:ascii="Arial" w:hAnsi="Arial" w:cs="Arial"/>
          <w:sz w:val="20"/>
          <w:szCs w:val="20"/>
        </w:rPr>
        <w:t>.</w:t>
      </w:r>
    </w:p>
    <w:p w:rsidR="009B7C53" w:rsidRDefault="009B7C53" w:rsidP="009B7C53">
      <w:pPr>
        <w:spacing w:line="264" w:lineRule="auto"/>
        <w:ind w:left="360"/>
        <w:rPr>
          <w:rFonts w:ascii="Garamond" w:hAnsi="Garamond"/>
        </w:rPr>
      </w:pPr>
    </w:p>
    <w:p w:rsidR="00750652" w:rsidRPr="00AA3C51" w:rsidRDefault="00750652" w:rsidP="009B7C53">
      <w:pPr>
        <w:spacing w:line="264" w:lineRule="auto"/>
        <w:ind w:left="360"/>
        <w:rPr>
          <w:rFonts w:ascii="Garamond" w:hAnsi="Garamond"/>
        </w:rPr>
      </w:pPr>
    </w:p>
    <w:p w:rsidR="005D71C4" w:rsidRPr="005D71C4" w:rsidRDefault="005D71C4" w:rsidP="005D71C4">
      <w:pPr>
        <w:spacing w:line="288" w:lineRule="auto"/>
        <w:jc w:val="center"/>
        <w:rPr>
          <w:rFonts w:ascii="Arial" w:hAnsi="Arial" w:cs="Arial"/>
          <w:b/>
          <w:smallCaps/>
        </w:rPr>
      </w:pPr>
      <w:r w:rsidRPr="005D71C4">
        <w:rPr>
          <w:rFonts w:ascii="Arial" w:hAnsi="Arial" w:cs="Arial"/>
          <w:b/>
          <w:smallCaps/>
        </w:rPr>
        <w:t xml:space="preserve">Document all of above in Medical Record and send </w:t>
      </w:r>
      <w:r w:rsidR="00750652">
        <w:rPr>
          <w:rFonts w:ascii="Arial" w:hAnsi="Arial" w:cs="Arial"/>
          <w:b/>
          <w:smallCaps/>
        </w:rPr>
        <w:t>visit</w:t>
      </w:r>
      <w:r w:rsidRPr="005D71C4">
        <w:rPr>
          <w:rFonts w:ascii="Arial" w:hAnsi="Arial" w:cs="Arial"/>
          <w:b/>
          <w:smallCaps/>
        </w:rPr>
        <w:t xml:space="preserve"> to PCP </w:t>
      </w:r>
      <w:r w:rsidR="00750652">
        <w:rPr>
          <w:rFonts w:ascii="Arial" w:hAnsi="Arial" w:cs="Arial"/>
          <w:b/>
          <w:smallCaps/>
        </w:rPr>
        <w:t>for completion</w:t>
      </w:r>
      <w:r w:rsidRPr="005D71C4">
        <w:rPr>
          <w:rFonts w:ascii="Arial" w:hAnsi="Arial" w:cs="Arial"/>
          <w:b/>
          <w:smallCaps/>
        </w:rPr>
        <w:t>.</w:t>
      </w:r>
    </w:p>
    <w:p w:rsidR="00611356" w:rsidRDefault="00611356" w:rsidP="009B7C53">
      <w:pPr>
        <w:spacing w:line="288" w:lineRule="auto"/>
        <w:jc w:val="center"/>
        <w:rPr>
          <w:rFonts w:ascii="Arial" w:hAnsi="Arial" w:cs="Arial"/>
          <w:b/>
          <w:smallCaps/>
        </w:rPr>
      </w:pPr>
    </w:p>
    <w:p w:rsidR="00D26265" w:rsidRDefault="00D26265" w:rsidP="009B7C53">
      <w:pPr>
        <w:spacing w:line="288" w:lineRule="auto"/>
        <w:jc w:val="center"/>
        <w:rPr>
          <w:rFonts w:ascii="Arial" w:hAnsi="Arial" w:cs="Arial"/>
          <w:b/>
          <w:smallCaps/>
        </w:rPr>
      </w:pPr>
    </w:p>
    <w:p w:rsidR="009B7C53" w:rsidRPr="00611356" w:rsidRDefault="00611356" w:rsidP="006A22DB">
      <w:pPr>
        <w:spacing w:line="288" w:lineRule="auto"/>
        <w:rPr>
          <w:rFonts w:ascii="Arial" w:hAnsi="Arial" w:cs="Arial"/>
          <w:i/>
          <w:smallCaps/>
          <w:sz w:val="16"/>
          <w:szCs w:val="16"/>
        </w:rPr>
      </w:pPr>
      <w:r w:rsidRPr="00611356">
        <w:rPr>
          <w:rFonts w:ascii="Arial" w:hAnsi="Arial" w:cs="Arial"/>
          <w:i/>
          <w:smallCaps/>
          <w:sz w:val="16"/>
          <w:szCs w:val="16"/>
        </w:rPr>
        <w:t xml:space="preserve">Adapted from La </w:t>
      </w:r>
      <w:proofErr w:type="spellStart"/>
      <w:r w:rsidRPr="00611356">
        <w:rPr>
          <w:rFonts w:ascii="Arial" w:hAnsi="Arial" w:cs="Arial"/>
          <w:i/>
          <w:smallCaps/>
          <w:sz w:val="16"/>
          <w:szCs w:val="16"/>
        </w:rPr>
        <w:t>Clinica</w:t>
      </w:r>
      <w:proofErr w:type="spellEnd"/>
      <w:r w:rsidRPr="00611356">
        <w:rPr>
          <w:rFonts w:ascii="Arial" w:hAnsi="Arial" w:cs="Arial"/>
          <w:i/>
          <w:smallCaps/>
          <w:sz w:val="16"/>
          <w:szCs w:val="16"/>
        </w:rPr>
        <w:t xml:space="preserve">, </w:t>
      </w:r>
      <w:r>
        <w:rPr>
          <w:rFonts w:ascii="Arial" w:hAnsi="Arial" w:cs="Arial"/>
          <w:i/>
          <w:smallCaps/>
          <w:sz w:val="16"/>
          <w:szCs w:val="16"/>
        </w:rPr>
        <w:t>Boulder, CO—January 2016</w:t>
      </w:r>
    </w:p>
    <w:sectPr w:rsidR="009B7C53" w:rsidRPr="0061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07F3"/>
    <w:multiLevelType w:val="hybridMultilevel"/>
    <w:tmpl w:val="39D646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42D3F"/>
    <w:multiLevelType w:val="hybridMultilevel"/>
    <w:tmpl w:val="9C6E975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6C54DA">
      <w:start w:val="1"/>
      <w:numFmt w:val="bullet"/>
      <w:lvlText w:val="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55376"/>
    <w:multiLevelType w:val="hybridMultilevel"/>
    <w:tmpl w:val="4198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B54C7"/>
    <w:multiLevelType w:val="hybridMultilevel"/>
    <w:tmpl w:val="5F66268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5DD8683D"/>
    <w:multiLevelType w:val="hybridMultilevel"/>
    <w:tmpl w:val="773C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5148E6"/>
    <w:multiLevelType w:val="hybridMultilevel"/>
    <w:tmpl w:val="8BC22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C15904"/>
    <w:multiLevelType w:val="hybridMultilevel"/>
    <w:tmpl w:val="5EBA8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53"/>
    <w:rsid w:val="00135696"/>
    <w:rsid w:val="001A1707"/>
    <w:rsid w:val="005D71C4"/>
    <w:rsid w:val="0060687F"/>
    <w:rsid w:val="00611356"/>
    <w:rsid w:val="00647F91"/>
    <w:rsid w:val="006A22DB"/>
    <w:rsid w:val="007021CF"/>
    <w:rsid w:val="00750652"/>
    <w:rsid w:val="00770FC4"/>
    <w:rsid w:val="009B7C53"/>
    <w:rsid w:val="009F1154"/>
    <w:rsid w:val="009F64F3"/>
    <w:rsid w:val="00AC4E53"/>
    <w:rsid w:val="00C22C05"/>
    <w:rsid w:val="00C91314"/>
    <w:rsid w:val="00D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7C53"/>
    <w:pPr>
      <w:keepNext/>
      <w:spacing w:line="360" w:lineRule="auto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7C5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uiPriority w:val="99"/>
    <w:qFormat/>
    <w:rsid w:val="009B7C5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9B7C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B7C53"/>
    <w:pPr>
      <w:spacing w:line="360" w:lineRule="auto"/>
    </w:pPr>
    <w:rPr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9B7C5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7C53"/>
    <w:pPr>
      <w:keepNext/>
      <w:spacing w:line="360" w:lineRule="auto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7C5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uiPriority w:val="99"/>
    <w:qFormat/>
    <w:rsid w:val="009B7C5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9B7C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B7C53"/>
    <w:pPr>
      <w:spacing w:line="360" w:lineRule="auto"/>
    </w:pPr>
    <w:rPr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9B7C5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A5BE-B674-2B43-97A9-8BED7A4C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Mathew</dc:creator>
  <cp:lastModifiedBy>Ann Lindsay</cp:lastModifiedBy>
  <cp:revision>2</cp:revision>
  <cp:lastPrinted>2016-01-19T23:08:00Z</cp:lastPrinted>
  <dcterms:created xsi:type="dcterms:W3CDTF">2016-11-04T20:58:00Z</dcterms:created>
  <dcterms:modified xsi:type="dcterms:W3CDTF">2016-11-04T20:58:00Z</dcterms:modified>
</cp:coreProperties>
</file>