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5A10C1">
        <w:rPr>
          <w:b/>
          <w:sz w:val="32"/>
          <w:szCs w:val="44"/>
        </w:rPr>
        <w:t>Molecular and Cellular Physiology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4D0454" w:rsidRPr="007C31DC" w:rsidTr="005D36A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7C31DC" w:rsidRDefault="004D0454" w:rsidP="004D045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5A10C1" w:rsidP="002F42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Daniel V. Madison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5A10C1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="005D36A4"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4D0454" w:rsidRPr="004D0454" w:rsidRDefault="002F427F" w:rsidP="004D045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5A10C1"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hippocampal physiology &amp; re</w:t>
            </w:r>
            <w:r w:rsid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sponse to circadian dysfunction</w:t>
            </w:r>
          </w:p>
        </w:tc>
      </w:tr>
      <w:tr w:rsidR="00D76220" w:rsidRPr="007C31DC" w:rsidTr="005A10C1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5A10C1" w:rsidP="005D36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Merritt </w:t>
            </w:r>
            <w:proofErr w:type="spellStart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Maduke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5A10C1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="00D76220"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5A10C1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Development of an inhibitor for CLC-</w:t>
            </w:r>
            <w:proofErr w:type="spellStart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Ka</w:t>
            </w:r>
            <w:proofErr w:type="spellEnd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chloride transporter inhibitor – as a potential treatment for hyponatremia (women have generally worse outcomes than men)</w:t>
            </w:r>
          </w:p>
        </w:tc>
      </w:tr>
      <w:tr w:rsidR="00D76220" w:rsidRPr="007C31DC" w:rsidTr="005A10C1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5A10C1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Sudhof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5A10C1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5A10C1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A10C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Including both sexes in studies of the formation of synapses and synaptic communication</w:t>
            </w: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D76220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D76220" w:rsidRPr="007C31DC" w:rsidTr="005D36A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2F427F"/>
    <w:rsid w:val="004736EF"/>
    <w:rsid w:val="004D0454"/>
    <w:rsid w:val="005A10C1"/>
    <w:rsid w:val="005D36A4"/>
    <w:rsid w:val="007C31DC"/>
    <w:rsid w:val="009769F6"/>
    <w:rsid w:val="009977F6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4BBC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10</cp:revision>
  <dcterms:created xsi:type="dcterms:W3CDTF">2019-07-17T20:38:00Z</dcterms:created>
  <dcterms:modified xsi:type="dcterms:W3CDTF">2019-08-21T19:33:00Z</dcterms:modified>
</cp:coreProperties>
</file>